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spacing w:beforeLines="0" w:afterLines="0" w:line="640" w:lineRule="exact"/>
        <w:rPr>
          <w:rFonts w:ascii="方正小标宋简体" w:hAnsi="方正小标宋简体" w:eastAsia="方正小标宋简体" w:cs="方正小标宋简体"/>
          <w:bCs/>
          <w:szCs w:val="44"/>
        </w:rPr>
      </w:pPr>
    </w:p>
    <w:p>
      <w:pPr>
        <w:spacing w:line="64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天津港保税区管理委员会关于修订《天津港</w:t>
      </w:r>
    </w:p>
    <w:p>
      <w:pPr>
        <w:spacing w:line="64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保税区</w:t>
      </w:r>
      <w:r>
        <w:rPr>
          <w:rFonts w:ascii="方正小标宋简体" w:hAnsi="方正小标宋简体" w:eastAsia="方正小标宋简体" w:cs="方正小标宋简体"/>
          <w:bCs/>
          <w:sz w:val="44"/>
          <w:szCs w:val="44"/>
        </w:rPr>
        <w:t>危险化学品事故</w:t>
      </w:r>
      <w:r>
        <w:rPr>
          <w:rFonts w:hint="eastAsia" w:ascii="方正小标宋简体" w:hAnsi="方正小标宋简体" w:eastAsia="方正小标宋简体" w:cs="方正小标宋简体"/>
          <w:bCs/>
          <w:sz w:val="44"/>
          <w:szCs w:val="44"/>
        </w:rPr>
        <w:t>应急</w:t>
      </w:r>
    </w:p>
    <w:p>
      <w:pPr>
        <w:spacing w:line="64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预案》的通知</w:t>
      </w:r>
    </w:p>
    <w:p>
      <w:pPr>
        <w:spacing w:line="560" w:lineRule="exact"/>
        <w:ind w:firstLine="640" w:firstLineChars="200"/>
        <w:rPr>
          <w:rFonts w:hint="eastAsia" w:ascii="仿宋_GB2312" w:hAnsi="仿宋_GB2312" w:cs="仿宋_GB2312"/>
          <w:b/>
          <w:color w:val="000000"/>
          <w:spacing w:val="0"/>
          <w:szCs w:val="32"/>
        </w:rPr>
      </w:pPr>
    </w:p>
    <w:p>
      <w:pPr>
        <w:overflowPunct w:val="0"/>
        <w:autoSpaceDE w:val="0"/>
        <w:autoSpaceDN w:val="0"/>
        <w:adjustRightInd w:val="0"/>
        <w:snapToGrid w:val="0"/>
        <w:spacing w:line="560" w:lineRule="exact"/>
        <w:rPr>
          <w:rFonts w:hint="eastAsia" w:ascii="仿宋_GB2312"/>
          <w:color w:val="000000"/>
          <w:spacing w:val="0"/>
          <w:szCs w:val="32"/>
        </w:rPr>
      </w:pPr>
      <w:r>
        <w:rPr>
          <w:rFonts w:hint="eastAsia" w:ascii="仿宋_GB2312"/>
          <w:color w:val="000000"/>
          <w:spacing w:val="0"/>
          <w:szCs w:val="32"/>
        </w:rPr>
        <w:t>各有关单位：</w:t>
      </w:r>
    </w:p>
    <w:p>
      <w:pPr>
        <w:pStyle w:val="4"/>
        <w:spacing w:line="560" w:lineRule="exact"/>
        <w:ind w:firstLine="640" w:firstLineChars="200"/>
        <w:rPr>
          <w:rFonts w:hint="eastAsia" w:ascii="仿宋_GB2312"/>
          <w:spacing w:val="0"/>
          <w:szCs w:val="32"/>
          <w:lang w:val="zh-CN"/>
        </w:rPr>
      </w:pPr>
      <w:r>
        <w:rPr>
          <w:rFonts w:hint="eastAsia" w:ascii="仿宋_GB2312" w:cs="宋体"/>
          <w:spacing w:val="0"/>
          <w:szCs w:val="32"/>
        </w:rPr>
        <w:t>现将</w:t>
      </w:r>
      <w:r>
        <w:rPr>
          <w:rFonts w:ascii="仿宋_GB2312" w:cs="宋体"/>
          <w:spacing w:val="0"/>
          <w:szCs w:val="32"/>
        </w:rPr>
        <w:t>修订的</w:t>
      </w:r>
      <w:r>
        <w:rPr>
          <w:rFonts w:hint="eastAsia" w:ascii="仿宋_GB2312" w:cs="宋体"/>
          <w:spacing w:val="0"/>
          <w:szCs w:val="32"/>
        </w:rPr>
        <w:t>《</w:t>
      </w:r>
      <w:r>
        <w:rPr>
          <w:rFonts w:hint="eastAsia" w:ascii="仿宋_GB2312"/>
          <w:spacing w:val="0"/>
          <w:szCs w:val="32"/>
        </w:rPr>
        <w:t>天津港保税区</w:t>
      </w:r>
      <w:r>
        <w:rPr>
          <w:rFonts w:ascii="仿宋_GB2312"/>
          <w:spacing w:val="0"/>
          <w:szCs w:val="32"/>
        </w:rPr>
        <w:t>危险化学品事故</w:t>
      </w:r>
      <w:r>
        <w:rPr>
          <w:rFonts w:hint="eastAsia" w:ascii="仿宋_GB2312"/>
          <w:spacing w:val="0"/>
          <w:szCs w:val="32"/>
        </w:rPr>
        <w:t>应急预案</w:t>
      </w:r>
      <w:r>
        <w:rPr>
          <w:rFonts w:hint="eastAsia" w:ascii="仿宋_GB2312" w:cs="宋体"/>
          <w:spacing w:val="0"/>
          <w:szCs w:val="32"/>
        </w:rPr>
        <w:t>》印发给你们，望遵照执行。</w:t>
      </w:r>
    </w:p>
    <w:p>
      <w:pPr>
        <w:overflowPunct w:val="0"/>
        <w:autoSpaceDE w:val="0"/>
        <w:autoSpaceDN w:val="0"/>
        <w:adjustRightInd w:val="0"/>
        <w:snapToGrid w:val="0"/>
        <w:spacing w:line="400" w:lineRule="exact"/>
        <w:ind w:firstLine="640" w:firstLineChars="200"/>
        <w:rPr>
          <w:rFonts w:hint="eastAsia" w:ascii="仿宋_GB2312"/>
          <w:color w:val="000000"/>
          <w:spacing w:val="0"/>
          <w:szCs w:val="32"/>
        </w:rPr>
      </w:pPr>
    </w:p>
    <w:p>
      <w:pPr>
        <w:spacing w:line="400" w:lineRule="exact"/>
        <w:ind w:firstLine="640" w:firstLineChars="200"/>
        <w:rPr>
          <w:rFonts w:hint="eastAsia" w:ascii="仿宋_GB2312" w:hAnsi="仿宋_GB2312" w:cs="仿宋_GB2312"/>
          <w:bCs/>
          <w:color w:val="000000"/>
          <w:spacing w:val="0"/>
          <w:szCs w:val="32"/>
        </w:rPr>
      </w:pPr>
    </w:p>
    <w:p>
      <w:pPr>
        <w:pStyle w:val="2"/>
        <w:keepNext w:val="0"/>
        <w:keepLines w:val="0"/>
        <w:spacing w:before="0" w:after="0" w:line="400" w:lineRule="exact"/>
        <w:ind w:firstLine="560" w:firstLineChars="200"/>
        <w:rPr>
          <w:rFonts w:hint="eastAsia" w:ascii="Arial" w:hAnsi="Arial" w:cs="Times New Roman"/>
          <w:bCs w:val="0"/>
          <w:color w:val="000000"/>
          <w:spacing w:val="0"/>
          <w:szCs w:val="20"/>
        </w:rPr>
      </w:pPr>
    </w:p>
    <w:p>
      <w:pPr>
        <w:spacing w:line="400" w:lineRule="exact"/>
        <w:ind w:firstLine="640" w:firstLineChars="200"/>
        <w:rPr>
          <w:rFonts w:hint="eastAsia" w:ascii="仿宋_GB2312" w:hAnsi="仿宋_GB2312" w:cs="仿宋_GB2312"/>
          <w:bCs/>
          <w:color w:val="000000"/>
          <w:spacing w:val="0"/>
          <w:szCs w:val="32"/>
        </w:rPr>
      </w:pPr>
    </w:p>
    <w:p>
      <w:pPr>
        <w:spacing w:line="560" w:lineRule="exact"/>
        <w:ind w:firstLine="640" w:firstLineChars="200"/>
        <w:rPr>
          <w:rFonts w:hint="eastAsia" w:ascii="仿宋_GB2312" w:hAnsi="仿宋_GB2312" w:cs="仿宋_GB2312"/>
          <w:bCs/>
          <w:color w:val="000000"/>
          <w:spacing w:val="0"/>
          <w:szCs w:val="32"/>
        </w:rPr>
      </w:pPr>
      <w:r>
        <w:rPr>
          <w:rFonts w:hint="eastAsia" w:ascii="仿宋_GB2312" w:hAnsi="仿宋_GB2312" w:cs="仿宋_GB2312"/>
          <w:bCs/>
          <w:color w:val="000000"/>
          <w:spacing w:val="0"/>
          <w:szCs w:val="32"/>
        </w:rPr>
        <w:t xml:space="preserve">                           202</w:t>
      </w:r>
      <w:r>
        <w:rPr>
          <w:rFonts w:ascii="仿宋_GB2312" w:hAnsi="仿宋_GB2312" w:cs="仿宋_GB2312"/>
          <w:bCs/>
          <w:color w:val="000000"/>
          <w:spacing w:val="0"/>
          <w:szCs w:val="32"/>
        </w:rPr>
        <w:t>4</w:t>
      </w:r>
      <w:r>
        <w:rPr>
          <w:rFonts w:hint="eastAsia" w:ascii="仿宋_GB2312" w:hAnsi="仿宋_GB2312" w:cs="仿宋_GB2312"/>
          <w:bCs/>
          <w:color w:val="000000"/>
          <w:spacing w:val="0"/>
          <w:szCs w:val="32"/>
        </w:rPr>
        <w:t>年4月2</w:t>
      </w:r>
      <w:r>
        <w:rPr>
          <w:rFonts w:hint="default" w:ascii="仿宋_GB2312" w:hAnsi="仿宋_GB2312" w:cs="仿宋_GB2312"/>
          <w:bCs/>
          <w:color w:val="000000"/>
          <w:spacing w:val="0"/>
          <w:szCs w:val="32"/>
        </w:rPr>
        <w:t>8</w:t>
      </w:r>
      <w:r>
        <w:rPr>
          <w:rFonts w:hint="eastAsia" w:ascii="仿宋_GB2312" w:hAnsi="仿宋_GB2312" w:cs="仿宋_GB2312"/>
          <w:bCs/>
          <w:color w:val="000000"/>
          <w:spacing w:val="0"/>
          <w:szCs w:val="32"/>
        </w:rPr>
        <w:t>日</w:t>
      </w:r>
    </w:p>
    <w:p>
      <w:pPr>
        <w:pStyle w:val="3"/>
        <w:keepNext w:val="0"/>
        <w:keepLines w:val="0"/>
        <w:spacing w:beforeLines="0" w:afterLines="0" w:line="560" w:lineRule="exact"/>
        <w:ind w:firstLine="616" w:firstLineChars="200"/>
        <w:rPr>
          <w:rFonts w:ascii="仿宋_GB2312" w:eastAsia="仿宋_GB2312"/>
          <w:b w:val="0"/>
          <w:bCs/>
          <w:color w:val="000000"/>
          <w:szCs w:val="32"/>
        </w:rPr>
      </w:pPr>
      <w:r>
        <w:rPr>
          <w:rFonts w:hint="eastAsia" w:ascii="仿宋_GB2312" w:eastAsia="仿宋_GB2312"/>
          <w:b w:val="0"/>
          <w:bCs/>
          <w:color w:val="000000"/>
          <w:szCs w:val="32"/>
        </w:rPr>
        <w:t>（此件主动公开）</w:t>
      </w:r>
    </w:p>
    <w:p>
      <w:pPr>
        <w:spacing w:line="640" w:lineRule="exact"/>
        <w:jc w:val="center"/>
        <w:rPr>
          <w:rFonts w:hint="eastAsia" w:ascii="方正小标宋简体" w:hAnsi="方正小标宋简体" w:eastAsia="方正小标宋简体" w:cs="方正小标宋简体"/>
          <w:bCs/>
          <w:color w:val="000000"/>
          <w:spacing w:val="0"/>
          <w:sz w:val="44"/>
          <w:szCs w:val="44"/>
        </w:rPr>
      </w:pPr>
    </w:p>
    <w:p>
      <w:pPr>
        <w:spacing w:line="640" w:lineRule="exact"/>
        <w:jc w:val="center"/>
        <w:rPr>
          <w:rFonts w:hint="eastAsia" w:ascii="方正小标宋简体" w:hAnsi="方正小标宋简体" w:eastAsia="方正小标宋简体" w:cs="方正小标宋简体"/>
          <w:bCs/>
          <w:color w:val="000000"/>
          <w:spacing w:val="0"/>
          <w:sz w:val="44"/>
          <w:szCs w:val="44"/>
        </w:rPr>
      </w:pPr>
    </w:p>
    <w:p>
      <w:pPr>
        <w:spacing w:line="640" w:lineRule="exact"/>
        <w:jc w:val="center"/>
        <w:rPr>
          <w:rFonts w:hint="eastAsia" w:ascii="方正小标宋简体" w:hAnsi="方正小标宋简体" w:eastAsia="方正小标宋简体" w:cs="方正小标宋简体"/>
          <w:bCs/>
          <w:color w:val="000000"/>
          <w:spacing w:val="0"/>
          <w:sz w:val="44"/>
          <w:szCs w:val="44"/>
        </w:rPr>
      </w:pPr>
    </w:p>
    <w:p>
      <w:pPr>
        <w:spacing w:line="640" w:lineRule="exact"/>
        <w:jc w:val="center"/>
        <w:rPr>
          <w:rFonts w:hint="eastAsia" w:ascii="方正小标宋简体" w:hAnsi="方正小标宋简体" w:eastAsia="方正小标宋简体" w:cs="方正小标宋简体"/>
          <w:bCs/>
          <w:color w:val="000000"/>
          <w:spacing w:val="0"/>
          <w:sz w:val="44"/>
          <w:szCs w:val="44"/>
        </w:rPr>
      </w:pPr>
    </w:p>
    <w:p>
      <w:pPr>
        <w:spacing w:line="640" w:lineRule="exact"/>
        <w:jc w:val="center"/>
        <w:rPr>
          <w:rFonts w:hint="eastAsia" w:ascii="方正小标宋简体" w:hAnsi="方正小标宋简体" w:eastAsia="方正小标宋简体" w:cs="方正小标宋简体"/>
          <w:bCs/>
          <w:color w:val="000000"/>
          <w:spacing w:val="0"/>
          <w:sz w:val="44"/>
          <w:szCs w:val="44"/>
        </w:rPr>
      </w:pPr>
    </w:p>
    <w:p>
      <w:pPr>
        <w:spacing w:line="640" w:lineRule="exact"/>
        <w:jc w:val="center"/>
        <w:rPr>
          <w:rFonts w:hint="eastAsia" w:ascii="方正小标宋简体" w:hAnsi="方正小标宋简体" w:eastAsia="方正小标宋简体" w:cs="方正小标宋简体"/>
          <w:bCs/>
          <w:color w:val="000000"/>
          <w:spacing w:val="0"/>
          <w:sz w:val="44"/>
          <w:szCs w:val="44"/>
        </w:rPr>
      </w:pPr>
    </w:p>
    <w:p>
      <w:pPr>
        <w:spacing w:line="640" w:lineRule="exact"/>
        <w:jc w:val="center"/>
        <w:rPr>
          <w:rFonts w:hint="eastAsia" w:ascii="方正小标宋简体" w:hAnsi="方正小标宋简体" w:eastAsia="方正小标宋简体" w:cs="方正小标宋简体"/>
          <w:bCs/>
          <w:color w:val="000000"/>
          <w:spacing w:val="0"/>
          <w:sz w:val="44"/>
          <w:szCs w:val="44"/>
        </w:rPr>
      </w:pPr>
    </w:p>
    <w:p>
      <w:pPr>
        <w:spacing w:line="640" w:lineRule="exact"/>
        <w:jc w:val="center"/>
        <w:rPr>
          <w:rFonts w:hint="eastAsia" w:ascii="方正小标宋简体" w:hAnsi="方正小标宋简体" w:eastAsia="方正小标宋简体" w:cs="方正小标宋简体"/>
          <w:bCs/>
          <w:color w:val="000000"/>
          <w:spacing w:val="0"/>
          <w:sz w:val="44"/>
          <w:szCs w:val="44"/>
        </w:rPr>
      </w:pPr>
    </w:p>
    <w:p>
      <w:pPr>
        <w:spacing w:line="640" w:lineRule="exact"/>
        <w:jc w:val="center"/>
        <w:rPr>
          <w:rFonts w:hint="eastAsia" w:ascii="方正小标宋简体" w:hAnsi="方正小标宋简体" w:eastAsia="方正小标宋简体" w:cs="方正小标宋简体"/>
          <w:bCs/>
          <w:color w:val="000000"/>
          <w:spacing w:val="0"/>
          <w:sz w:val="44"/>
          <w:szCs w:val="44"/>
        </w:rPr>
      </w:pPr>
      <w:r>
        <w:rPr>
          <w:rFonts w:hint="eastAsia" w:ascii="方正小标宋简体" w:hAnsi="方正小标宋简体" w:eastAsia="方正小标宋简体" w:cs="方正小标宋简体"/>
          <w:bCs/>
          <w:color w:val="000000"/>
          <w:spacing w:val="0"/>
          <w:sz w:val="44"/>
          <w:szCs w:val="44"/>
        </w:rPr>
        <w:t>天津港保税区危险化学品事故应急预案</w:t>
      </w:r>
    </w:p>
    <w:p>
      <w:pPr>
        <w:spacing w:line="560" w:lineRule="exact"/>
        <w:jc w:val="center"/>
        <w:rPr>
          <w:rFonts w:hint="eastAsia" w:ascii="仿宋_GB2312" w:hAnsi="仿宋_GB2312" w:cs="仿宋_GB2312"/>
          <w:bCs/>
          <w:color w:val="000000"/>
          <w:szCs w:val="32"/>
        </w:rPr>
      </w:pPr>
    </w:p>
    <w:p>
      <w:pPr>
        <w:spacing w:line="560" w:lineRule="exact"/>
        <w:ind w:firstLine="640" w:firstLineChars="200"/>
        <w:rPr>
          <w:rFonts w:hint="eastAsia" w:ascii="黑体" w:hAnsi="黑体" w:eastAsia="黑体"/>
          <w:color w:val="000000"/>
          <w:spacing w:val="0"/>
          <w:szCs w:val="32"/>
        </w:rPr>
      </w:pPr>
      <w:bookmarkStart w:id="0" w:name="_Toc59372297"/>
      <w:bookmarkStart w:id="1" w:name="_Toc25313572"/>
      <w:bookmarkStart w:id="2" w:name="_Toc447788773"/>
      <w:bookmarkStart w:id="3" w:name="_Toc27385885"/>
      <w:r>
        <w:rPr>
          <w:rFonts w:hint="eastAsia" w:ascii="黑体" w:hAnsi="黑体" w:eastAsia="黑体"/>
          <w:color w:val="000000"/>
          <w:spacing w:val="0"/>
          <w:szCs w:val="32"/>
        </w:rPr>
        <w:t>1 总则</w:t>
      </w:r>
      <w:bookmarkEnd w:id="0"/>
      <w:bookmarkEnd w:id="1"/>
      <w:bookmarkEnd w:id="2"/>
      <w:bookmarkEnd w:id="3"/>
    </w:p>
    <w:p>
      <w:pPr>
        <w:pStyle w:val="9"/>
        <w:keepNext w:val="0"/>
        <w:keepLines w:val="0"/>
        <w:widowControl w:val="0"/>
        <w:ind w:firstLine="643"/>
        <w:rPr>
          <w:rFonts w:hint="eastAsia"/>
          <w:b/>
          <w:color w:val="000000"/>
        </w:rPr>
      </w:pPr>
      <w:bookmarkStart w:id="4" w:name="_Toc25313573"/>
      <w:bookmarkStart w:id="5" w:name="_Toc27385886"/>
      <w:bookmarkStart w:id="6" w:name="_Toc447788774"/>
      <w:bookmarkStart w:id="7" w:name="_Toc59372298"/>
      <w:r>
        <w:rPr>
          <w:rFonts w:hint="eastAsia"/>
          <w:b/>
          <w:color w:val="000000"/>
        </w:rPr>
        <w:t>1.1编制目的</w:t>
      </w:r>
      <w:bookmarkEnd w:id="4"/>
      <w:bookmarkEnd w:id="5"/>
      <w:bookmarkEnd w:id="6"/>
      <w:bookmarkEnd w:id="7"/>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为加强天津港保税区（以下简称保税区）危险化学品事故应急管理工作，规范危化品事故应急救援程序，明确各相关职能部门应急管理和应急救援的职责，实现迅速、有序、高效地进行应急处置，最大限度降低和减少危险化学品事故对人民生命健康和财产损失，维护社会的安全稳定，制订本应急预案。</w:t>
      </w:r>
    </w:p>
    <w:p>
      <w:pPr>
        <w:pStyle w:val="9"/>
        <w:keepNext w:val="0"/>
        <w:keepLines w:val="0"/>
        <w:widowControl w:val="0"/>
        <w:ind w:firstLine="643"/>
        <w:rPr>
          <w:rFonts w:hint="eastAsia"/>
          <w:b/>
          <w:color w:val="000000"/>
        </w:rPr>
      </w:pPr>
      <w:bookmarkStart w:id="8" w:name="_Toc27385887"/>
      <w:bookmarkStart w:id="9" w:name="_Toc59372299"/>
      <w:bookmarkStart w:id="10" w:name="_Toc25313574"/>
      <w:bookmarkStart w:id="11" w:name="_Toc447788775"/>
      <w:r>
        <w:rPr>
          <w:rFonts w:hint="eastAsia"/>
          <w:b/>
          <w:color w:val="000000"/>
        </w:rPr>
        <w:t>1.2编制依据</w:t>
      </w:r>
      <w:bookmarkEnd w:id="8"/>
      <w:bookmarkEnd w:id="9"/>
      <w:bookmarkEnd w:id="10"/>
      <w:bookmarkEnd w:id="11"/>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依据《中华人民共和国突发事件应对法》《中华人民共和国安全生产法》《危险化学品安全管理条例》《生产安全事故应急条例》《生产安全事故报告和调查处理条例》《生产安全事故应急预案管理办法》《天津市安全生产条例》《危险化学品重大危险源辨识》《生产安全事故应急演练基本规范》《生产安全事故应急演练评估规范》《天津市危险化学品事故应急预案》《天津市滨海新区危险化学品事故应急预案》《天津港保税区突发事件总体应急预案》《天津港保税区法定机构新一轮聘期管理实施方案》《关于临港新材料产业园通过天津市化工园区认定的通知》等相关法律法规和规章要求，编制本预案。</w:t>
      </w:r>
    </w:p>
    <w:p>
      <w:pPr>
        <w:pStyle w:val="9"/>
        <w:keepNext w:val="0"/>
        <w:keepLines w:val="0"/>
        <w:widowControl w:val="0"/>
        <w:ind w:firstLine="643"/>
        <w:rPr>
          <w:rFonts w:hint="eastAsia"/>
          <w:b/>
          <w:color w:val="000000"/>
        </w:rPr>
      </w:pPr>
      <w:bookmarkStart w:id="12" w:name="_Toc59372300"/>
      <w:bookmarkStart w:id="13" w:name="_Toc27385888"/>
      <w:bookmarkStart w:id="14" w:name="_Toc25313575"/>
      <w:bookmarkStart w:id="15" w:name="_Toc447788776"/>
      <w:r>
        <w:rPr>
          <w:rFonts w:hint="eastAsia"/>
          <w:b/>
          <w:color w:val="000000"/>
        </w:rPr>
        <w:t>1.3适用范围</w:t>
      </w:r>
      <w:bookmarkEnd w:id="12"/>
      <w:bookmarkEnd w:id="13"/>
      <w:bookmarkEnd w:id="14"/>
      <w:bookmarkEnd w:id="15"/>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本预案是保税区应对危险化学品事故的专项应急预案，适用于保税区辖区范围内的生产经营活动中发生的超出生产经营单位自身应急处置能力，需由保税区在上级应急指挥部指挥下参加处置的涉及危险化学品生产、经营、运输、使用、储存、装卸和废弃处置、实验和销毁等环节的事故灾害。</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本预案对各成员单位制定的危险化学品应急预案或保障预案具有指导作用。</w:t>
      </w:r>
    </w:p>
    <w:p>
      <w:pPr>
        <w:pStyle w:val="9"/>
        <w:keepNext w:val="0"/>
        <w:keepLines w:val="0"/>
        <w:widowControl w:val="0"/>
        <w:ind w:firstLine="643"/>
        <w:rPr>
          <w:rFonts w:hint="eastAsia"/>
          <w:b/>
          <w:color w:val="000000"/>
        </w:rPr>
      </w:pPr>
      <w:bookmarkStart w:id="16" w:name="_Toc59372301"/>
      <w:bookmarkStart w:id="17" w:name="_Toc27385889"/>
      <w:bookmarkStart w:id="18" w:name="_Toc25313576"/>
      <w:bookmarkStart w:id="19" w:name="_Toc447788777"/>
      <w:r>
        <w:rPr>
          <w:rFonts w:hint="eastAsia"/>
          <w:b/>
          <w:color w:val="000000"/>
        </w:rPr>
        <w:t>1.4应急预案体系</w:t>
      </w:r>
      <w:bookmarkEnd w:id="16"/>
      <w:bookmarkEnd w:id="17"/>
      <w:bookmarkEnd w:id="18"/>
      <w:bookmarkEnd w:id="19"/>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保税区危险化学品事故应急预案体系由《滨海新区危险化学品事故应急预案》《天津港保税区突发事件总体应急预案》《天津港保税区危险化学品事故应急预案》、临港新材料产业园涉及危险化学品事故专项应急预案（火灾爆炸、中毒窒息、重大危险源、泄漏、公共管廊及管道）以及生产经营单位的危险化学品事故应急预案等组成。</w:t>
      </w:r>
    </w:p>
    <w:p>
      <w:pPr>
        <w:jc w:val="center"/>
        <w:rPr>
          <w:rFonts w:hint="eastAsia" w:ascii="仿宋_GB2312" w:hAnsi="仿宋" w:eastAsia="仿宋_GB2312"/>
          <w:spacing w:val="0"/>
          <w:szCs w:val="32"/>
        </w:rPr>
      </w:pPr>
      <w:r>
        <w:rPr>
          <w:rFonts w:hint="eastAsia" w:ascii="仿宋_GB2312"/>
          <w:szCs w:val="32"/>
        </w:rPr>
        <w:drawing>
          <wp:inline distT="0" distB="0" distL="114300" distR="114300">
            <wp:extent cx="5009515" cy="2943225"/>
            <wp:effectExtent l="0" t="0" r="63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5009515" cy="2943225"/>
                    </a:xfrm>
                    <a:prstGeom prst="rect">
                      <a:avLst/>
                    </a:prstGeom>
                    <a:noFill/>
                    <a:ln>
                      <a:noFill/>
                    </a:ln>
                  </pic:spPr>
                </pic:pic>
              </a:graphicData>
            </a:graphic>
          </wp:inline>
        </w:drawing>
      </w:r>
    </w:p>
    <w:p>
      <w:pPr>
        <w:pStyle w:val="9"/>
        <w:keepNext w:val="0"/>
        <w:keepLines w:val="0"/>
        <w:widowControl w:val="0"/>
        <w:ind w:firstLine="643"/>
        <w:rPr>
          <w:rFonts w:hint="eastAsia"/>
          <w:b/>
          <w:color w:val="000000"/>
        </w:rPr>
      </w:pPr>
      <w:bookmarkStart w:id="20" w:name="_Toc25313577"/>
      <w:bookmarkStart w:id="21" w:name="_Toc447788778"/>
      <w:bookmarkStart w:id="22" w:name="_Toc59372302"/>
      <w:bookmarkStart w:id="23" w:name="_Toc27385890"/>
      <w:r>
        <w:rPr>
          <w:rFonts w:hint="eastAsia"/>
          <w:b/>
          <w:color w:val="000000"/>
        </w:rPr>
        <w:t>1.5应急工作原则</w:t>
      </w:r>
      <w:bookmarkEnd w:id="20"/>
      <w:bookmarkEnd w:id="21"/>
      <w:bookmarkEnd w:id="22"/>
      <w:bookmarkEnd w:id="23"/>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bookmarkStart w:id="24" w:name="_Toc447788779"/>
      <w:r>
        <w:rPr>
          <w:rFonts w:hint="eastAsia" w:ascii="仿宋_GB2312"/>
          <w:color w:val="000000"/>
          <w:spacing w:val="0"/>
          <w:szCs w:val="32"/>
        </w:rPr>
        <w:t>（1）以人为本，安全第一。危险化学品事故应急救援工作要始终把保障人民群众的生命安全和身体健康放在首位，切实加强应急救援人员的安全防护，最大限度地预防和减少危险化学品事故造成的人员伤亡及财产损失。</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反应灵敏、上下联动。建立健全以专业救援队伍为骨干、企业为先期应急救援力量、以社会力量为辅助的应急救援力量体系，健全完善各种应急救援力量快速反应、协调联动机制，高效处置危险化学品事故。在上级政府部门和保税区的统一领导下，保税区各有关职能部门、专业救援队伍和企业按照各自职责和权限，建立健全上下应急联动机制，提升保税区应急保障能力和水平。</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（3）依法依规，科学施救。严格按照法律、法规、预案等要求组织开展应急救援工作，不断提高应急救援能力。充分发挥安全生产应急救援专家的技术支持作用，合理利用救援技术和装备，实现科学施救。</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预防为主，平战结合。坚持事故应急与预防相结合。以“安全第一、预防为主、综合治理”的方针为指导，坚持事故预防与应急救援相结合。规范预防、预警工作程序，做好危险源监控、应急培训、物资储备、队伍建设和预案演练等工作，做到常备不懈。充分发挥专业危险化学品应急救援队伍在事故处置中的作用。</w:t>
      </w:r>
    </w:p>
    <w:p>
      <w:pPr>
        <w:pStyle w:val="9"/>
        <w:keepNext w:val="0"/>
        <w:keepLines w:val="0"/>
        <w:widowControl w:val="0"/>
        <w:ind w:firstLine="643"/>
        <w:rPr>
          <w:rFonts w:hint="eastAsia"/>
          <w:b/>
          <w:color w:val="000000"/>
        </w:rPr>
      </w:pPr>
      <w:bookmarkStart w:id="25" w:name="_Toc25313578"/>
      <w:bookmarkStart w:id="26" w:name="_Toc27385891"/>
      <w:bookmarkStart w:id="27" w:name="_Toc471475018"/>
      <w:bookmarkStart w:id="28" w:name="_Toc59372303"/>
      <w:r>
        <w:rPr>
          <w:rFonts w:hint="eastAsia"/>
          <w:b/>
          <w:color w:val="000000"/>
        </w:rPr>
        <w:t>1.6事故分级</w:t>
      </w:r>
      <w:bookmarkEnd w:id="25"/>
      <w:bookmarkEnd w:id="26"/>
      <w:bookmarkEnd w:id="27"/>
      <w:bookmarkEnd w:id="28"/>
    </w:p>
    <w:bookmarkEnd w:id="24"/>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bookmarkStart w:id="29" w:name="_Toc27385900"/>
      <w:bookmarkStart w:id="30" w:name="_Toc59372312"/>
      <w:r>
        <w:rPr>
          <w:rFonts w:hint="eastAsia" w:ascii="仿宋_GB2312"/>
          <w:color w:val="000000"/>
          <w:spacing w:val="0"/>
          <w:szCs w:val="32"/>
        </w:rPr>
        <w:t>根据事故的性质、危害程度、涉及范围，将危险化学品事故划分为四级：一级（特别重大）、二级（重大）、三级（较大）和四级（一般）。</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1.6.1一级（特别重大）危险化学品事故</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（1）造成或可能造成30人以上死亡（含失踪）的事故；</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（2）造成100人以上重伤（含急性工业中毒）的事故；</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（3）需要紧急转移安置10万人以上的事故；</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（4）造成直接经济损失1亿元以上或特别重大社会影响的事故。</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1.6.2二级（重大）危险化学品事故</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（1）造成或可能造成10人以上30人以下死亡（含失踪）的事故；</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（2）造成50人以上100人以下重伤（含急性工业中毒）的事故；</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（3）需要紧急转移安置1万以上10万人以下的事故；</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（4）造成直接经济损失5000万元以上1亿元以下或重大社会影响的事故。</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1.6.3三级（较大）危险化学品事故</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（1）造成或可能造成3人以上10人以下死亡（含失踪）的事故；</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（2）造成10人以上50人以下重伤（含急性工业中毒）的事故；</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（3）需要紧急转移安置1000人以上1万人以下的事故；</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（4）造成直接经济损失较大或较大社会影响的事故。</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1.6.4四级（一般）危险化学品事故</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（1）造成或可能造成3人以下死亡（含失踪）的事故；</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（2）造成10人以下重伤（含急性工业中毒）的事故；</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（3）需要紧急转移安置1000人以下的事故；</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（4）造成一定的经济损失或社会影响的事故。</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本预案所称“以上”含本数，“以下”不含本数。</w:t>
      </w:r>
    </w:p>
    <w:p>
      <w:pPr>
        <w:overflowPunct w:val="0"/>
        <w:autoSpaceDE w:val="0"/>
        <w:autoSpaceDN w:val="0"/>
        <w:adjustRightInd w:val="0"/>
        <w:snapToGrid w:val="0"/>
        <w:spacing w:line="560" w:lineRule="exact"/>
        <w:ind w:firstLine="640" w:firstLineChars="200"/>
        <w:rPr>
          <w:rFonts w:hint="eastAsia" w:ascii="黑体" w:hAnsi="黑体" w:eastAsia="黑体"/>
          <w:color w:val="000000"/>
          <w:spacing w:val="0"/>
          <w:szCs w:val="32"/>
        </w:rPr>
      </w:pPr>
      <w:r>
        <w:rPr>
          <w:rFonts w:hint="eastAsia" w:ascii="黑体" w:hAnsi="黑体" w:eastAsia="黑体"/>
          <w:color w:val="000000"/>
          <w:spacing w:val="0"/>
          <w:szCs w:val="32"/>
        </w:rPr>
        <w:t>2 应急组织机构及职责</w:t>
      </w:r>
      <w:bookmarkEnd w:id="29"/>
      <w:bookmarkEnd w:id="30"/>
    </w:p>
    <w:p>
      <w:pPr>
        <w:overflowPunct w:val="0"/>
        <w:autoSpaceDE w:val="0"/>
        <w:autoSpaceDN w:val="0"/>
        <w:adjustRightInd w:val="0"/>
        <w:snapToGrid w:val="0"/>
        <w:spacing w:line="560" w:lineRule="exact"/>
        <w:ind w:firstLine="640" w:firstLineChars="200"/>
        <w:rPr>
          <w:rFonts w:hint="eastAsia" w:ascii="楷体_GB2312" w:hAnsi="楷体" w:eastAsia="楷体_GB2312"/>
          <w:b/>
          <w:color w:val="000000"/>
          <w:spacing w:val="0"/>
          <w:szCs w:val="32"/>
        </w:rPr>
      </w:pPr>
      <w:bookmarkStart w:id="31" w:name="_Toc27385901"/>
      <w:bookmarkStart w:id="32" w:name="_Toc59372313"/>
      <w:r>
        <w:rPr>
          <w:rFonts w:hint="eastAsia" w:ascii="楷体_GB2312" w:hAnsi="楷体" w:eastAsia="楷体_GB2312"/>
          <w:b/>
          <w:color w:val="000000"/>
          <w:spacing w:val="0"/>
          <w:szCs w:val="32"/>
        </w:rPr>
        <w:t>2.1应急组织机构</w:t>
      </w:r>
      <w:bookmarkEnd w:id="31"/>
      <w:bookmarkEnd w:id="32"/>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保税区危险化学品事故应急管理组织机构由危险化学品事故专项应急指挥部（以下简称“专项应急指挥部”）、专项应急指挥部办公室（以下简称“专项应急办”）、现场指挥部、专业应急救援队伍、应急救援小组、专家组、企业应急救援队伍和社会力量等组成。</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专项应急指挥部总指挥由管委会主任担任，常务副总指挥由分管应急管理工作副主任担任，副总指挥由管委会其他副主任担任。成员单位包括应急局、管委会办公室、党建部、发改局、</w:t>
      </w:r>
      <w:r>
        <w:rPr>
          <w:rFonts w:hint="eastAsia" w:ascii="仿宋_GB2312"/>
          <w:color w:val="000000"/>
          <w:spacing w:val="0"/>
          <w:szCs w:val="32"/>
          <w:lang w:eastAsia="zh-CN"/>
        </w:rPr>
        <w:t>工信局、</w:t>
      </w:r>
      <w:r>
        <w:rPr>
          <w:rFonts w:hint="eastAsia" w:ascii="仿宋_GB2312"/>
          <w:color w:val="000000"/>
          <w:spacing w:val="0"/>
          <w:szCs w:val="32"/>
        </w:rPr>
        <w:t>商务局、财政局、人社局、规建局、城环局、社发局、市场监管局、群团部、</w:t>
      </w:r>
      <w:r>
        <w:rPr>
          <w:rFonts w:hint="eastAsia" w:ascii="仿宋_GB2312"/>
          <w:color w:val="000000"/>
          <w:spacing w:val="0"/>
          <w:szCs w:val="32"/>
          <w:lang w:eastAsia="zh-CN"/>
        </w:rPr>
        <w:t>口岸局</w:t>
      </w:r>
      <w:r>
        <w:rPr>
          <w:rFonts w:hint="eastAsia" w:ascii="仿宋_GB2312"/>
          <w:color w:val="000000"/>
          <w:spacing w:val="0"/>
          <w:szCs w:val="32"/>
        </w:rPr>
        <w:t>、</w:t>
      </w:r>
      <w:r>
        <w:rPr>
          <w:rFonts w:hint="eastAsia" w:ascii="仿宋_GB2312"/>
          <w:color w:val="000000"/>
          <w:spacing w:val="0"/>
          <w:szCs w:val="32"/>
          <w:lang w:eastAsia="zh-CN"/>
        </w:rPr>
        <w:t>新材料局</w:t>
      </w:r>
      <w:r>
        <w:rPr>
          <w:rFonts w:hint="eastAsia" w:ascii="仿宋_GB2312"/>
          <w:color w:val="000000"/>
          <w:spacing w:val="0"/>
          <w:szCs w:val="32"/>
        </w:rPr>
        <w:t>（参与临港新材料产业园危化品事故处置）、海港管理局、物流区管理局、保税区消防救援支队、交警保税区大队、交警空港大队、交警新港路大队、环河北路派出所、航空路派出所、京门大道派出所、临港派出所、东沽派出所、高沙岭派出所、东环路派出所和天保控股有限公司、临港投资控股有限公司、其他有关部门和单位（根据应急需要临时增加）。</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专项应急办设在应急局，办公室主任由应急局局长担任，承担专项应急指挥部日常管理工作。根据事故类型和现场人员情况成立现场指挥部，成员由相关单位负责人员组成。现场指挥部根据专项应急指挥部的授权，统一指挥和协调现场应急处置工作。</w:t>
      </w:r>
    </w:p>
    <w:p>
      <w:pPr>
        <w:keepNext w:val="0"/>
        <w:keepLines w:val="0"/>
        <w:widowControl w:val="0"/>
        <w:overflowPunct w:val="0"/>
        <w:autoSpaceDE w:val="0"/>
        <w:autoSpaceDN w:val="0"/>
        <w:adjustRightInd w:val="0"/>
        <w:snapToGrid w:val="0"/>
        <w:spacing w:line="560" w:lineRule="exact"/>
        <w:ind w:firstLine="640" w:firstLineChars="200"/>
        <w:rPr>
          <w:rFonts w:hint="eastAsia" w:ascii="楷体_GB2312" w:hAnsi="楷体" w:eastAsia="楷体_GB2312"/>
          <w:b/>
          <w:color w:val="000000"/>
          <w:spacing w:val="0"/>
          <w:szCs w:val="32"/>
        </w:rPr>
      </w:pPr>
      <w:bookmarkStart w:id="33" w:name="_Toc27385902"/>
      <w:bookmarkStart w:id="34" w:name="_Toc59372314"/>
      <w:r>
        <w:rPr>
          <w:rFonts w:hint="eastAsia" w:ascii="楷体_GB2312" w:hAnsi="楷体" w:eastAsia="楷体_GB2312"/>
          <w:b/>
          <w:color w:val="000000"/>
          <w:spacing w:val="0"/>
          <w:szCs w:val="32"/>
        </w:rPr>
        <w:t>2.2应急组织机构职责</w:t>
      </w:r>
      <w:bookmarkEnd w:id="33"/>
      <w:bookmarkEnd w:id="34"/>
    </w:p>
    <w:p>
      <w:pPr>
        <w:spacing w:line="560" w:lineRule="exact"/>
        <w:ind w:firstLine="640" w:firstLineChars="200"/>
        <w:rPr>
          <w:rFonts w:hint="eastAsia" w:ascii="仿宋_GB2312"/>
          <w:color w:val="000000"/>
          <w:spacing w:val="0"/>
          <w:szCs w:val="32"/>
        </w:rPr>
      </w:pPr>
      <w:bookmarkStart w:id="35" w:name="_Toc27385903"/>
      <w:bookmarkStart w:id="36" w:name="_Toc59372315"/>
      <w:r>
        <w:rPr>
          <w:rFonts w:hint="eastAsia" w:ascii="仿宋_GB2312"/>
          <w:color w:val="000000"/>
          <w:spacing w:val="0"/>
          <w:szCs w:val="32"/>
        </w:rPr>
        <w:t>2.2.1专项应急指挥部职责</w:t>
      </w:r>
      <w:bookmarkEnd w:id="35"/>
      <w:bookmarkEnd w:id="36"/>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贯彻落实国家和天津市、滨海新区关于应急管理工作的方针政策、决策部署，研究制定保税区应对危险化学品事故政策措施和指导意见；组织开展保税区危险化学品事故先期应急处置工作，配合天津市、滨海新区应急指挥部开展保税区内发生的一般及以上级别危险化学品事故应急处置工作。</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bookmarkStart w:id="37" w:name="_Toc27385904"/>
      <w:bookmarkStart w:id="38" w:name="_Toc59372316"/>
      <w:r>
        <w:rPr>
          <w:rFonts w:hint="eastAsia" w:ascii="仿宋_GB2312"/>
          <w:color w:val="000000"/>
          <w:spacing w:val="0"/>
          <w:szCs w:val="32"/>
        </w:rPr>
        <w:t>2.2.2专项应急办职责</w:t>
      </w:r>
      <w:bookmarkEnd w:id="37"/>
      <w:bookmarkEnd w:id="38"/>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1.负责专项应急指挥部日常工作，起草专项应急指挥部有关文件，组织落实专项应急指挥部各项工作部署。</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2.负责危险化学品事故应急信息收集及上报。</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3.协调、指导成员单位开展相关应急处置工作。</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4.负责组织调度相关部门落实保税区及专项应急指挥部的工作要求，切实做好协调处置工作；及时向新区报告事故处置和应急救援进展情况。</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5.承办专项应急指挥部交办的其他工作。</w:t>
      </w:r>
    </w:p>
    <w:p>
      <w:pPr>
        <w:pStyle w:val="11"/>
        <w:widowControl w:val="0"/>
        <w:rPr>
          <w:b w:val="0"/>
        </w:rPr>
      </w:pPr>
      <w:bookmarkStart w:id="39" w:name="_Toc59372317"/>
      <w:bookmarkStart w:id="40" w:name="_Toc27385905"/>
      <w:r>
        <w:rPr>
          <w:b w:val="0"/>
        </w:rPr>
        <w:t>2.2.3现场指挥部职责</w:t>
      </w:r>
      <w:bookmarkEnd w:id="39"/>
      <w:bookmarkEnd w:id="40"/>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危险化学品事故发生后，专项应急指挥部根据事故发展态势需要，成立现场指挥部，现场总指挥由党委、管委会指定，统一指挥调度现场应急救援力量、应急物资，开展先期处置工作。当上级政府部门现场指挥部成立后，保税区移交现场应急指挥权，配合上级政府部门组织开展应急救援工作，并负责向上级政府部门报告事故先期处置情况，同时做好服务和后勤保障等工作。事故发生单位负责人员、保税区各成员单位按照应急工作职责，参与相关应急处置工作，并及时向专项应急办汇报工作进展情况。</w:t>
      </w:r>
    </w:p>
    <w:p>
      <w:pPr>
        <w:pStyle w:val="11"/>
        <w:widowControl w:val="0"/>
        <w:rPr>
          <w:b w:val="0"/>
        </w:rPr>
      </w:pPr>
      <w:bookmarkStart w:id="41" w:name="_Toc59372318"/>
      <w:r>
        <w:rPr>
          <w:b w:val="0"/>
        </w:rPr>
        <w:t>2.2.4应急救援小组</w:t>
      </w:r>
      <w:bookmarkEnd w:id="41"/>
    </w:p>
    <w:p>
      <w:pPr>
        <w:snapToGrid w:val="0"/>
        <w:spacing w:line="560" w:lineRule="exact"/>
        <w:ind w:firstLine="566" w:firstLineChars="177"/>
        <w:rPr>
          <w:rFonts w:hint="eastAsia" w:ascii="仿宋_GB2312" w:hAnsi="仿宋"/>
          <w:color w:val="000000"/>
          <w:spacing w:val="0"/>
          <w:szCs w:val="32"/>
        </w:rPr>
      </w:pPr>
      <w:r>
        <w:rPr>
          <w:rFonts w:hint="eastAsia" w:ascii="仿宋_GB2312" w:hAnsi="仿宋"/>
          <w:color w:val="000000"/>
          <w:spacing w:val="0"/>
          <w:szCs w:val="32"/>
        </w:rPr>
        <w:t>应急救援小组组成如下表：</w:t>
      </w:r>
    </w:p>
    <w:tbl>
      <w:tblPr>
        <w:tblStyle w:val="7"/>
        <w:tblW w:w="48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1705"/>
        <w:gridCol w:w="1658"/>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1" w:type="pct"/>
            <w:noWrap w:val="0"/>
            <w:vAlign w:val="center"/>
          </w:tcPr>
          <w:p>
            <w:pPr>
              <w:snapToGrid w:val="0"/>
              <w:spacing w:line="300" w:lineRule="auto"/>
              <w:jc w:val="center"/>
              <w:rPr>
                <w:rFonts w:ascii="黑体" w:hAnsi="黑体" w:eastAsia="黑体"/>
                <w:bCs/>
                <w:spacing w:val="0"/>
                <w:sz w:val="24"/>
                <w:szCs w:val="24"/>
              </w:rPr>
            </w:pPr>
            <w:r>
              <w:rPr>
                <w:rFonts w:ascii="黑体" w:hAnsi="黑体" w:eastAsia="黑体"/>
                <w:bCs/>
                <w:spacing w:val="0"/>
                <w:sz w:val="24"/>
                <w:szCs w:val="24"/>
              </w:rPr>
              <w:t>序号</w:t>
            </w:r>
          </w:p>
        </w:tc>
        <w:tc>
          <w:tcPr>
            <w:tcW w:w="980" w:type="pct"/>
            <w:noWrap w:val="0"/>
            <w:vAlign w:val="center"/>
          </w:tcPr>
          <w:p>
            <w:pPr>
              <w:snapToGrid w:val="0"/>
              <w:spacing w:line="300" w:lineRule="auto"/>
              <w:jc w:val="center"/>
              <w:rPr>
                <w:rFonts w:ascii="黑体" w:hAnsi="黑体" w:eastAsia="黑体"/>
                <w:bCs/>
                <w:spacing w:val="0"/>
                <w:sz w:val="24"/>
                <w:szCs w:val="24"/>
              </w:rPr>
            </w:pPr>
            <w:r>
              <w:rPr>
                <w:rFonts w:ascii="黑体" w:hAnsi="黑体" w:eastAsia="黑体"/>
                <w:bCs/>
                <w:spacing w:val="0"/>
                <w:sz w:val="24"/>
                <w:szCs w:val="24"/>
              </w:rPr>
              <w:t>应急救援小组</w:t>
            </w:r>
          </w:p>
          <w:p>
            <w:pPr>
              <w:snapToGrid w:val="0"/>
              <w:spacing w:line="300" w:lineRule="auto"/>
              <w:jc w:val="center"/>
              <w:rPr>
                <w:rFonts w:ascii="黑体" w:hAnsi="黑体" w:eastAsia="黑体"/>
                <w:bCs/>
                <w:spacing w:val="0"/>
                <w:sz w:val="24"/>
                <w:szCs w:val="24"/>
              </w:rPr>
            </w:pPr>
            <w:r>
              <w:rPr>
                <w:rFonts w:ascii="黑体" w:hAnsi="黑体" w:eastAsia="黑体"/>
                <w:bCs/>
                <w:spacing w:val="0"/>
                <w:sz w:val="24"/>
                <w:szCs w:val="24"/>
              </w:rPr>
              <w:t>名称</w:t>
            </w:r>
          </w:p>
        </w:tc>
        <w:tc>
          <w:tcPr>
            <w:tcW w:w="953" w:type="pct"/>
            <w:noWrap w:val="0"/>
            <w:vAlign w:val="center"/>
          </w:tcPr>
          <w:p>
            <w:pPr>
              <w:snapToGrid w:val="0"/>
              <w:spacing w:line="300" w:lineRule="auto"/>
              <w:jc w:val="center"/>
              <w:rPr>
                <w:rFonts w:ascii="黑体" w:hAnsi="黑体" w:eastAsia="黑体"/>
                <w:bCs/>
                <w:spacing w:val="0"/>
                <w:sz w:val="24"/>
                <w:szCs w:val="24"/>
              </w:rPr>
            </w:pPr>
            <w:r>
              <w:rPr>
                <w:rFonts w:ascii="黑体" w:hAnsi="黑体" w:eastAsia="黑体"/>
                <w:bCs/>
                <w:spacing w:val="0"/>
                <w:sz w:val="24"/>
                <w:szCs w:val="24"/>
              </w:rPr>
              <w:t>牵头部门</w:t>
            </w:r>
            <w:r>
              <w:rPr>
                <w:rFonts w:hint="eastAsia" w:ascii="黑体" w:hAnsi="黑体" w:eastAsia="黑体"/>
                <w:bCs/>
                <w:spacing w:val="0"/>
                <w:sz w:val="24"/>
                <w:szCs w:val="24"/>
              </w:rPr>
              <w:t>/</w:t>
            </w:r>
          </w:p>
          <w:p>
            <w:pPr>
              <w:snapToGrid w:val="0"/>
              <w:spacing w:line="300" w:lineRule="auto"/>
              <w:jc w:val="center"/>
              <w:rPr>
                <w:rFonts w:ascii="黑体" w:hAnsi="黑体" w:eastAsia="黑体"/>
                <w:bCs/>
                <w:spacing w:val="0"/>
                <w:sz w:val="24"/>
                <w:szCs w:val="24"/>
              </w:rPr>
            </w:pPr>
            <w:r>
              <w:rPr>
                <w:rFonts w:hint="eastAsia" w:ascii="黑体" w:hAnsi="黑体" w:eastAsia="黑体"/>
                <w:bCs/>
                <w:spacing w:val="0"/>
                <w:sz w:val="24"/>
                <w:szCs w:val="24"/>
              </w:rPr>
              <w:t>单位</w:t>
            </w:r>
          </w:p>
        </w:tc>
        <w:tc>
          <w:tcPr>
            <w:tcW w:w="2716" w:type="pct"/>
            <w:noWrap w:val="0"/>
            <w:vAlign w:val="center"/>
          </w:tcPr>
          <w:p>
            <w:pPr>
              <w:snapToGrid w:val="0"/>
              <w:spacing w:line="300" w:lineRule="auto"/>
              <w:jc w:val="center"/>
              <w:rPr>
                <w:rFonts w:ascii="黑体" w:hAnsi="黑体" w:eastAsia="黑体"/>
                <w:bCs/>
                <w:spacing w:val="0"/>
                <w:sz w:val="24"/>
                <w:szCs w:val="24"/>
              </w:rPr>
            </w:pPr>
            <w:r>
              <w:rPr>
                <w:rFonts w:ascii="黑体" w:hAnsi="黑体" w:eastAsia="黑体"/>
                <w:bCs/>
                <w:spacing w:val="0"/>
                <w:sz w:val="24"/>
                <w:szCs w:val="24"/>
              </w:rPr>
              <w:t>成员</w:t>
            </w:r>
            <w:r>
              <w:rPr>
                <w:rFonts w:hint="eastAsia" w:ascii="黑体" w:hAnsi="黑体" w:eastAsia="黑体"/>
                <w:bCs/>
                <w:spacing w:val="0"/>
                <w:sz w:val="24"/>
                <w:szCs w:val="24"/>
              </w:rPr>
              <w:t>单位</w:t>
            </w:r>
          </w:p>
          <w:p>
            <w:pPr>
              <w:snapToGrid w:val="0"/>
              <w:spacing w:line="300" w:lineRule="auto"/>
              <w:jc w:val="center"/>
              <w:rPr>
                <w:rFonts w:ascii="黑体" w:hAnsi="黑体" w:eastAsia="黑体"/>
                <w:bCs/>
                <w:spacing w:val="0"/>
                <w:sz w:val="24"/>
                <w:szCs w:val="24"/>
              </w:rPr>
            </w:pPr>
            <w:r>
              <w:rPr>
                <w:rFonts w:ascii="黑体" w:hAnsi="黑体" w:eastAsia="黑体"/>
                <w:bCs/>
                <w:spacing w:val="0"/>
                <w:sz w:val="24"/>
                <w:szCs w:val="24"/>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1" w:type="pct"/>
            <w:noWrap w:val="0"/>
            <w:vAlign w:val="center"/>
          </w:tcPr>
          <w:p>
            <w:pPr>
              <w:pStyle w:val="12"/>
              <w:numPr>
                <w:ilvl w:val="0"/>
                <w:numId w:val="1"/>
              </w:numPr>
              <w:snapToGrid w:val="0"/>
              <w:spacing w:line="400" w:lineRule="exact"/>
              <w:ind w:left="0" w:firstLine="0" w:firstLineChars="0"/>
              <w:jc w:val="center"/>
              <w:rPr>
                <w:rFonts w:hint="eastAsia" w:ascii="仿宋_GB2312" w:hAnsi="仿宋"/>
                <w:spacing w:val="0"/>
                <w:sz w:val="24"/>
                <w:szCs w:val="24"/>
              </w:rPr>
            </w:pPr>
          </w:p>
        </w:tc>
        <w:tc>
          <w:tcPr>
            <w:tcW w:w="980" w:type="pct"/>
            <w:noWrap w:val="0"/>
            <w:vAlign w:val="center"/>
          </w:tcPr>
          <w:p>
            <w:pPr>
              <w:snapToGrid w:val="0"/>
              <w:spacing w:line="400" w:lineRule="exact"/>
              <w:jc w:val="center"/>
              <w:rPr>
                <w:rFonts w:hint="eastAsia" w:ascii="仿宋_GB2312" w:hAnsi="仿宋"/>
                <w:spacing w:val="0"/>
                <w:sz w:val="24"/>
                <w:szCs w:val="24"/>
              </w:rPr>
            </w:pPr>
            <w:r>
              <w:rPr>
                <w:rFonts w:hint="eastAsia" w:ascii="仿宋_GB2312" w:hAnsi="仿宋"/>
                <w:spacing w:val="0"/>
                <w:sz w:val="24"/>
                <w:szCs w:val="24"/>
              </w:rPr>
              <w:t>应急救援组</w:t>
            </w:r>
          </w:p>
        </w:tc>
        <w:tc>
          <w:tcPr>
            <w:tcW w:w="953" w:type="pct"/>
            <w:noWrap w:val="0"/>
            <w:vAlign w:val="center"/>
          </w:tcPr>
          <w:p>
            <w:pPr>
              <w:snapToGrid w:val="0"/>
              <w:spacing w:line="400" w:lineRule="exact"/>
              <w:jc w:val="center"/>
              <w:rPr>
                <w:rFonts w:hint="eastAsia"/>
                <w:spacing w:val="0"/>
                <w:sz w:val="24"/>
                <w:highlight w:val="yellow"/>
              </w:rPr>
            </w:pPr>
            <w:r>
              <w:rPr>
                <w:rFonts w:hint="eastAsia"/>
                <w:spacing w:val="0"/>
                <w:sz w:val="24"/>
              </w:rPr>
              <w:t>应急局</w:t>
            </w:r>
          </w:p>
        </w:tc>
        <w:tc>
          <w:tcPr>
            <w:tcW w:w="2716" w:type="pct"/>
            <w:noWrap w:val="0"/>
            <w:vAlign w:val="center"/>
          </w:tcPr>
          <w:p>
            <w:pPr>
              <w:snapToGrid w:val="0"/>
              <w:spacing w:line="400" w:lineRule="exact"/>
              <w:ind w:firstLine="480" w:firstLineChars="200"/>
              <w:jc w:val="left"/>
              <w:rPr>
                <w:rFonts w:hint="eastAsia" w:ascii="仿宋_GB2312" w:hAnsi="仿宋"/>
                <w:spacing w:val="0"/>
                <w:sz w:val="24"/>
                <w:szCs w:val="24"/>
              </w:rPr>
            </w:pPr>
            <w:r>
              <w:rPr>
                <w:rFonts w:hint="eastAsia" w:ascii="仿宋_GB2312" w:hAnsi="仿宋"/>
                <w:spacing w:val="0"/>
                <w:sz w:val="24"/>
                <w:szCs w:val="24"/>
              </w:rPr>
              <w:t>保税区消防救援支队、</w:t>
            </w:r>
            <w:r>
              <w:rPr>
                <w:spacing w:val="0"/>
                <w:sz w:val="24"/>
              </w:rPr>
              <w:t>管委会办公室</w:t>
            </w:r>
            <w:r>
              <w:rPr>
                <w:rFonts w:hint="eastAsia" w:ascii="仿宋_GB2312" w:hAnsi="仿宋"/>
                <w:spacing w:val="0"/>
                <w:sz w:val="24"/>
                <w:szCs w:val="24"/>
              </w:rPr>
              <w:t>、社发局、市场</w:t>
            </w:r>
            <w:r>
              <w:rPr>
                <w:rFonts w:hint="eastAsia" w:ascii="仿宋_GB2312" w:hAnsi="仿宋"/>
                <w:spacing w:val="0"/>
                <w:sz w:val="24"/>
                <w:szCs w:val="24"/>
                <w:lang w:eastAsia="zh-CN"/>
              </w:rPr>
              <w:t>监管局</w:t>
            </w:r>
            <w:r>
              <w:rPr>
                <w:rFonts w:hint="eastAsia" w:ascii="仿宋_GB2312" w:hAnsi="仿宋"/>
                <w:spacing w:val="0"/>
                <w:sz w:val="24"/>
                <w:szCs w:val="24"/>
              </w:rPr>
              <w:t>、城环局、规建局、</w:t>
            </w:r>
            <w:r>
              <w:rPr>
                <w:rFonts w:hint="eastAsia"/>
                <w:spacing w:val="0"/>
                <w:sz w:val="24"/>
                <w:lang w:eastAsia="zh-CN"/>
              </w:rPr>
              <w:t>新材料局</w:t>
            </w:r>
            <w:r>
              <w:rPr>
                <w:rFonts w:hint="eastAsia"/>
                <w:spacing w:val="0"/>
                <w:sz w:val="24"/>
              </w:rPr>
              <w:t>（参与临港新材料产业园危化品事故）、</w:t>
            </w:r>
            <w:r>
              <w:rPr>
                <w:rFonts w:hint="eastAsia" w:ascii="仿宋_GB2312" w:hAnsi="仿宋"/>
                <w:spacing w:val="0"/>
                <w:sz w:val="24"/>
                <w:szCs w:val="24"/>
              </w:rPr>
              <w:t>发改局、</w:t>
            </w:r>
            <w:r>
              <w:rPr>
                <w:rFonts w:hint="eastAsia" w:ascii="仿宋_GB2312" w:hAnsi="仿宋"/>
                <w:spacing w:val="0"/>
                <w:sz w:val="24"/>
                <w:szCs w:val="24"/>
                <w:lang w:eastAsia="zh-CN"/>
              </w:rPr>
              <w:t>工信局、口岸局</w:t>
            </w:r>
            <w:r>
              <w:rPr>
                <w:rFonts w:hint="eastAsia" w:ascii="仿宋_GB2312" w:hAnsi="仿宋"/>
                <w:spacing w:val="0"/>
                <w:sz w:val="24"/>
                <w:szCs w:val="24"/>
              </w:rPr>
              <w:t>、事故发生单位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1" w:type="pct"/>
            <w:noWrap w:val="0"/>
            <w:vAlign w:val="center"/>
          </w:tcPr>
          <w:p>
            <w:pPr>
              <w:pStyle w:val="12"/>
              <w:numPr>
                <w:ilvl w:val="0"/>
                <w:numId w:val="1"/>
              </w:numPr>
              <w:snapToGrid w:val="0"/>
              <w:spacing w:line="400" w:lineRule="exact"/>
              <w:ind w:left="0" w:firstLine="0" w:firstLineChars="0"/>
              <w:jc w:val="center"/>
              <w:rPr>
                <w:rFonts w:hint="eastAsia" w:ascii="仿宋_GB2312" w:hAnsi="仿宋"/>
                <w:spacing w:val="0"/>
                <w:sz w:val="24"/>
                <w:szCs w:val="24"/>
              </w:rPr>
            </w:pPr>
          </w:p>
        </w:tc>
        <w:tc>
          <w:tcPr>
            <w:tcW w:w="980" w:type="pct"/>
            <w:noWrap w:val="0"/>
            <w:vAlign w:val="center"/>
          </w:tcPr>
          <w:p>
            <w:pPr>
              <w:snapToGrid w:val="0"/>
              <w:spacing w:line="400" w:lineRule="exact"/>
              <w:jc w:val="center"/>
              <w:rPr>
                <w:rFonts w:hint="eastAsia" w:ascii="仿宋_GB2312" w:hAnsi="仿宋"/>
                <w:spacing w:val="0"/>
                <w:sz w:val="24"/>
                <w:szCs w:val="24"/>
              </w:rPr>
            </w:pPr>
            <w:r>
              <w:rPr>
                <w:rFonts w:hint="eastAsia" w:ascii="仿宋_GB2312" w:hAnsi="仿宋"/>
                <w:spacing w:val="0"/>
                <w:sz w:val="24"/>
                <w:szCs w:val="24"/>
              </w:rPr>
              <w:t>医疗救护组</w:t>
            </w:r>
          </w:p>
        </w:tc>
        <w:tc>
          <w:tcPr>
            <w:tcW w:w="953" w:type="pct"/>
            <w:noWrap w:val="0"/>
            <w:vAlign w:val="center"/>
          </w:tcPr>
          <w:p>
            <w:pPr>
              <w:snapToGrid w:val="0"/>
              <w:spacing w:line="400" w:lineRule="exact"/>
              <w:jc w:val="center"/>
              <w:rPr>
                <w:rFonts w:hint="eastAsia" w:ascii="仿宋_GB2312" w:hAnsi="仿宋"/>
                <w:spacing w:val="0"/>
                <w:sz w:val="24"/>
                <w:szCs w:val="24"/>
              </w:rPr>
            </w:pPr>
            <w:r>
              <w:rPr>
                <w:rFonts w:hint="eastAsia" w:ascii="仿宋_GB2312" w:hAnsi="仿宋"/>
                <w:spacing w:val="0"/>
                <w:sz w:val="24"/>
                <w:szCs w:val="24"/>
              </w:rPr>
              <w:t>社发局</w:t>
            </w:r>
          </w:p>
        </w:tc>
        <w:tc>
          <w:tcPr>
            <w:tcW w:w="2716" w:type="pct"/>
            <w:noWrap w:val="0"/>
            <w:vAlign w:val="center"/>
          </w:tcPr>
          <w:p>
            <w:pPr>
              <w:snapToGrid w:val="0"/>
              <w:spacing w:line="400" w:lineRule="exact"/>
              <w:ind w:firstLine="480" w:firstLineChars="200"/>
              <w:jc w:val="left"/>
              <w:rPr>
                <w:rFonts w:hint="eastAsia" w:ascii="仿宋_GB2312" w:hAnsi="仿宋"/>
                <w:spacing w:val="0"/>
                <w:sz w:val="24"/>
                <w:szCs w:val="24"/>
              </w:rPr>
            </w:pPr>
            <w:r>
              <w:rPr>
                <w:rFonts w:hint="eastAsia"/>
                <w:spacing w:val="0"/>
                <w:sz w:val="24"/>
              </w:rPr>
              <w:t>群团部</w:t>
            </w:r>
            <w:r>
              <w:rPr>
                <w:rFonts w:hint="eastAsia" w:ascii="仿宋_GB2312" w:hAnsi="仿宋"/>
                <w:spacing w:val="0"/>
                <w:sz w:val="24"/>
                <w:szCs w:val="24"/>
              </w:rPr>
              <w:t>、联系协调新区急救中心及相关专业医疗机构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1" w:type="pct"/>
            <w:noWrap w:val="0"/>
            <w:vAlign w:val="center"/>
          </w:tcPr>
          <w:p>
            <w:pPr>
              <w:pStyle w:val="12"/>
              <w:numPr>
                <w:ilvl w:val="0"/>
                <w:numId w:val="1"/>
              </w:numPr>
              <w:snapToGrid w:val="0"/>
              <w:spacing w:line="400" w:lineRule="exact"/>
              <w:ind w:left="0" w:firstLine="0" w:firstLineChars="0"/>
              <w:jc w:val="center"/>
              <w:rPr>
                <w:rFonts w:hint="eastAsia" w:ascii="仿宋_GB2312" w:hAnsi="仿宋"/>
                <w:spacing w:val="0"/>
                <w:sz w:val="24"/>
                <w:szCs w:val="24"/>
              </w:rPr>
            </w:pPr>
          </w:p>
        </w:tc>
        <w:tc>
          <w:tcPr>
            <w:tcW w:w="980" w:type="pct"/>
            <w:noWrap w:val="0"/>
            <w:vAlign w:val="center"/>
          </w:tcPr>
          <w:p>
            <w:pPr>
              <w:snapToGrid w:val="0"/>
              <w:spacing w:line="400" w:lineRule="exact"/>
              <w:jc w:val="center"/>
              <w:rPr>
                <w:rFonts w:hint="eastAsia" w:ascii="仿宋_GB2312" w:hAnsi="仿宋"/>
                <w:spacing w:val="0"/>
                <w:sz w:val="24"/>
                <w:szCs w:val="24"/>
              </w:rPr>
            </w:pPr>
            <w:r>
              <w:rPr>
                <w:rFonts w:hint="eastAsia" w:ascii="仿宋_GB2312" w:hAnsi="仿宋"/>
                <w:spacing w:val="0"/>
                <w:sz w:val="24"/>
                <w:szCs w:val="24"/>
              </w:rPr>
              <w:t>治安保障组</w:t>
            </w:r>
          </w:p>
        </w:tc>
        <w:tc>
          <w:tcPr>
            <w:tcW w:w="953" w:type="pct"/>
            <w:noWrap w:val="0"/>
            <w:vAlign w:val="center"/>
          </w:tcPr>
          <w:p>
            <w:pPr>
              <w:snapToGrid w:val="0"/>
              <w:spacing w:line="400" w:lineRule="exact"/>
              <w:jc w:val="center"/>
              <w:rPr>
                <w:rFonts w:hint="eastAsia" w:ascii="仿宋_GB2312" w:hAnsi="仿宋"/>
                <w:spacing w:val="0"/>
                <w:sz w:val="24"/>
                <w:szCs w:val="24"/>
              </w:rPr>
            </w:pPr>
            <w:r>
              <w:rPr>
                <w:spacing w:val="0"/>
                <w:sz w:val="24"/>
              </w:rPr>
              <w:t>管委会办公室</w:t>
            </w:r>
          </w:p>
        </w:tc>
        <w:tc>
          <w:tcPr>
            <w:tcW w:w="2716" w:type="pct"/>
            <w:noWrap w:val="0"/>
            <w:vAlign w:val="center"/>
          </w:tcPr>
          <w:p>
            <w:pPr>
              <w:snapToGrid w:val="0"/>
              <w:spacing w:line="400" w:lineRule="exact"/>
              <w:ind w:firstLine="480" w:firstLineChars="200"/>
              <w:jc w:val="left"/>
              <w:rPr>
                <w:rFonts w:hint="eastAsia" w:ascii="仿宋_GB2312" w:hAnsi="仿宋"/>
                <w:spacing w:val="0"/>
                <w:sz w:val="24"/>
                <w:szCs w:val="24"/>
              </w:rPr>
            </w:pPr>
            <w:r>
              <w:rPr>
                <w:rFonts w:hint="eastAsia" w:ascii="仿宋_GB2312" w:hAnsi="仿宋"/>
                <w:spacing w:val="0"/>
                <w:sz w:val="24"/>
                <w:szCs w:val="24"/>
              </w:rPr>
              <w:t>环河北路派出所、航空路派出所、京门大道派出所、临港派出所、东沽派出所</w:t>
            </w:r>
            <w:r>
              <w:rPr>
                <w:rFonts w:ascii="仿宋_GB2312" w:hAnsi="仿宋"/>
                <w:spacing w:val="0"/>
                <w:sz w:val="24"/>
                <w:szCs w:val="24"/>
              </w:rPr>
              <w:t>、</w:t>
            </w:r>
            <w:r>
              <w:rPr>
                <w:rFonts w:hint="eastAsia" w:ascii="仿宋_GB2312" w:hAnsi="仿宋"/>
                <w:spacing w:val="0"/>
                <w:sz w:val="24"/>
                <w:szCs w:val="24"/>
              </w:rPr>
              <w:t>高沙岭派出所</w:t>
            </w:r>
            <w:r>
              <w:rPr>
                <w:rFonts w:ascii="仿宋_GB2312" w:hAnsi="仿宋"/>
                <w:spacing w:val="0"/>
                <w:sz w:val="24"/>
                <w:szCs w:val="24"/>
              </w:rPr>
              <w:t>、东环路派出所、</w:t>
            </w:r>
            <w:r>
              <w:rPr>
                <w:rFonts w:hint="eastAsia" w:ascii="仿宋_GB2312" w:hAnsi="仿宋"/>
                <w:spacing w:val="0"/>
                <w:sz w:val="24"/>
                <w:szCs w:val="24"/>
              </w:rPr>
              <w:t>事故发生单位</w:t>
            </w:r>
            <w:r>
              <w:rPr>
                <w:rFonts w:ascii="仿宋_GB2312" w:hAnsi="仿宋"/>
                <w:spacing w:val="0"/>
                <w:sz w:val="24"/>
                <w:szCs w:val="24"/>
              </w:rPr>
              <w:t>及</w:t>
            </w:r>
            <w:r>
              <w:rPr>
                <w:rFonts w:hint="eastAsia" w:ascii="仿宋_GB2312" w:hAnsi="仿宋"/>
                <w:spacing w:val="0"/>
                <w:sz w:val="24"/>
                <w:szCs w:val="24"/>
              </w:rPr>
              <w:t>周边相关单位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1" w:type="pct"/>
            <w:noWrap w:val="0"/>
            <w:vAlign w:val="center"/>
          </w:tcPr>
          <w:p>
            <w:pPr>
              <w:pStyle w:val="12"/>
              <w:numPr>
                <w:ilvl w:val="0"/>
                <w:numId w:val="1"/>
              </w:numPr>
              <w:snapToGrid w:val="0"/>
              <w:spacing w:line="400" w:lineRule="exact"/>
              <w:ind w:left="0" w:firstLine="0" w:firstLineChars="0"/>
              <w:jc w:val="center"/>
              <w:rPr>
                <w:rFonts w:hint="eastAsia" w:ascii="仿宋_GB2312" w:hAnsi="仿宋"/>
                <w:spacing w:val="0"/>
                <w:sz w:val="24"/>
                <w:szCs w:val="24"/>
              </w:rPr>
            </w:pPr>
          </w:p>
        </w:tc>
        <w:tc>
          <w:tcPr>
            <w:tcW w:w="980" w:type="pct"/>
            <w:noWrap w:val="0"/>
            <w:vAlign w:val="center"/>
          </w:tcPr>
          <w:p>
            <w:pPr>
              <w:snapToGrid w:val="0"/>
              <w:spacing w:line="400" w:lineRule="exact"/>
              <w:jc w:val="center"/>
              <w:rPr>
                <w:rFonts w:hint="eastAsia" w:ascii="仿宋_GB2312" w:hAnsi="仿宋"/>
                <w:spacing w:val="0"/>
                <w:sz w:val="24"/>
                <w:szCs w:val="24"/>
              </w:rPr>
            </w:pPr>
            <w:r>
              <w:rPr>
                <w:rFonts w:hint="eastAsia" w:ascii="仿宋_GB2312" w:hAnsi="仿宋"/>
                <w:spacing w:val="0"/>
                <w:sz w:val="24"/>
                <w:szCs w:val="24"/>
              </w:rPr>
              <w:t>物资保障组</w:t>
            </w:r>
          </w:p>
        </w:tc>
        <w:tc>
          <w:tcPr>
            <w:tcW w:w="953" w:type="pct"/>
            <w:noWrap w:val="0"/>
            <w:vAlign w:val="center"/>
          </w:tcPr>
          <w:p>
            <w:pPr>
              <w:snapToGrid w:val="0"/>
              <w:spacing w:line="400" w:lineRule="exact"/>
              <w:jc w:val="center"/>
              <w:rPr>
                <w:rFonts w:hint="eastAsia" w:ascii="仿宋_GB2312" w:hAnsi="仿宋"/>
                <w:spacing w:val="0"/>
                <w:sz w:val="24"/>
                <w:szCs w:val="24"/>
              </w:rPr>
            </w:pPr>
            <w:r>
              <w:rPr>
                <w:rFonts w:hint="eastAsia" w:ascii="仿宋_GB2312" w:hAnsi="仿宋"/>
                <w:spacing w:val="0"/>
                <w:sz w:val="24"/>
                <w:szCs w:val="24"/>
              </w:rPr>
              <w:t>应急局</w:t>
            </w:r>
          </w:p>
        </w:tc>
        <w:tc>
          <w:tcPr>
            <w:tcW w:w="2716" w:type="pct"/>
            <w:noWrap w:val="0"/>
            <w:vAlign w:val="center"/>
          </w:tcPr>
          <w:p>
            <w:pPr>
              <w:snapToGrid w:val="0"/>
              <w:spacing w:line="400" w:lineRule="exact"/>
              <w:ind w:firstLine="480" w:firstLineChars="200"/>
              <w:jc w:val="left"/>
              <w:rPr>
                <w:rFonts w:hint="eastAsia" w:ascii="仿宋_GB2312" w:hAnsi="仿宋"/>
                <w:spacing w:val="0"/>
                <w:sz w:val="24"/>
                <w:szCs w:val="24"/>
              </w:rPr>
            </w:pPr>
            <w:r>
              <w:rPr>
                <w:spacing w:val="0"/>
                <w:sz w:val="24"/>
              </w:rPr>
              <w:t>发改局、</w:t>
            </w:r>
            <w:r>
              <w:rPr>
                <w:rFonts w:hint="eastAsia"/>
                <w:spacing w:val="0"/>
                <w:sz w:val="24"/>
                <w:lang w:eastAsia="zh-CN"/>
              </w:rPr>
              <w:t>工信局、</w:t>
            </w:r>
            <w:r>
              <w:rPr>
                <w:spacing w:val="0"/>
                <w:sz w:val="24"/>
              </w:rPr>
              <w:t>商务局、财政局、规建局、市场</w:t>
            </w:r>
            <w:r>
              <w:rPr>
                <w:rFonts w:hint="eastAsia"/>
                <w:spacing w:val="0"/>
                <w:sz w:val="24"/>
                <w:lang w:eastAsia="zh-CN"/>
              </w:rPr>
              <w:t>监管</w:t>
            </w:r>
            <w:r>
              <w:rPr>
                <w:spacing w:val="0"/>
                <w:sz w:val="24"/>
              </w:rPr>
              <w:t>局、城环局、</w:t>
            </w:r>
            <w:r>
              <w:rPr>
                <w:rFonts w:hint="eastAsia"/>
                <w:spacing w:val="0"/>
                <w:sz w:val="24"/>
              </w:rPr>
              <w:t>社发局</w:t>
            </w:r>
            <w:r>
              <w:rPr>
                <w:spacing w:val="0"/>
                <w:sz w:val="24"/>
              </w:rPr>
              <w:t>、天保控股有限公司、</w:t>
            </w:r>
            <w:r>
              <w:rPr>
                <w:rFonts w:hint="eastAsia"/>
                <w:spacing w:val="0"/>
                <w:sz w:val="24"/>
              </w:rPr>
              <w:t>临港投资控股有限公司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1" w:type="pct"/>
            <w:noWrap w:val="0"/>
            <w:vAlign w:val="center"/>
          </w:tcPr>
          <w:p>
            <w:pPr>
              <w:pStyle w:val="12"/>
              <w:numPr>
                <w:ilvl w:val="0"/>
                <w:numId w:val="1"/>
              </w:numPr>
              <w:snapToGrid w:val="0"/>
              <w:spacing w:line="400" w:lineRule="exact"/>
              <w:ind w:left="0" w:firstLine="0" w:firstLineChars="0"/>
              <w:jc w:val="center"/>
              <w:rPr>
                <w:rFonts w:hint="eastAsia" w:ascii="仿宋_GB2312" w:hAnsi="仿宋"/>
                <w:spacing w:val="0"/>
                <w:sz w:val="24"/>
                <w:szCs w:val="24"/>
              </w:rPr>
            </w:pPr>
          </w:p>
        </w:tc>
        <w:tc>
          <w:tcPr>
            <w:tcW w:w="980" w:type="pct"/>
            <w:noWrap w:val="0"/>
            <w:vAlign w:val="center"/>
          </w:tcPr>
          <w:p>
            <w:pPr>
              <w:snapToGrid w:val="0"/>
              <w:spacing w:line="400" w:lineRule="exact"/>
              <w:jc w:val="center"/>
              <w:rPr>
                <w:rFonts w:hint="eastAsia" w:ascii="仿宋_GB2312" w:hAnsi="仿宋"/>
                <w:spacing w:val="0"/>
                <w:sz w:val="24"/>
                <w:szCs w:val="24"/>
              </w:rPr>
            </w:pPr>
            <w:r>
              <w:rPr>
                <w:rFonts w:hint="eastAsia" w:ascii="仿宋_GB2312" w:hAnsi="仿宋"/>
                <w:spacing w:val="0"/>
                <w:sz w:val="24"/>
                <w:szCs w:val="24"/>
              </w:rPr>
              <w:t>环境监测组</w:t>
            </w:r>
          </w:p>
        </w:tc>
        <w:tc>
          <w:tcPr>
            <w:tcW w:w="953" w:type="pct"/>
            <w:noWrap w:val="0"/>
            <w:vAlign w:val="center"/>
          </w:tcPr>
          <w:p>
            <w:pPr>
              <w:snapToGrid w:val="0"/>
              <w:spacing w:line="400" w:lineRule="exact"/>
              <w:jc w:val="center"/>
              <w:rPr>
                <w:rFonts w:hint="eastAsia" w:ascii="仿宋_GB2312" w:hAnsi="仿宋"/>
                <w:spacing w:val="0"/>
                <w:sz w:val="24"/>
                <w:szCs w:val="24"/>
              </w:rPr>
            </w:pPr>
            <w:r>
              <w:rPr>
                <w:rFonts w:hint="eastAsia" w:ascii="仿宋_GB2312" w:hAnsi="仿宋"/>
                <w:spacing w:val="0"/>
                <w:sz w:val="24"/>
                <w:szCs w:val="24"/>
              </w:rPr>
              <w:t>城环局</w:t>
            </w:r>
          </w:p>
        </w:tc>
        <w:tc>
          <w:tcPr>
            <w:tcW w:w="2716" w:type="pct"/>
            <w:noWrap w:val="0"/>
            <w:vAlign w:val="center"/>
          </w:tcPr>
          <w:p>
            <w:pPr>
              <w:snapToGrid w:val="0"/>
              <w:spacing w:line="400" w:lineRule="exact"/>
              <w:ind w:firstLine="480" w:firstLineChars="200"/>
              <w:jc w:val="left"/>
              <w:rPr>
                <w:rFonts w:hint="eastAsia" w:ascii="仿宋_GB2312" w:hAnsi="仿宋"/>
                <w:spacing w:val="0"/>
                <w:sz w:val="24"/>
                <w:szCs w:val="24"/>
              </w:rPr>
            </w:pPr>
            <w:r>
              <w:rPr>
                <w:rFonts w:hint="eastAsia" w:ascii="仿宋_GB2312" w:hAnsi="仿宋"/>
                <w:spacing w:val="0"/>
                <w:sz w:val="24"/>
                <w:szCs w:val="24"/>
              </w:rPr>
              <w:t>事故发生单位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1" w:type="pct"/>
            <w:noWrap w:val="0"/>
            <w:vAlign w:val="center"/>
          </w:tcPr>
          <w:p>
            <w:pPr>
              <w:pStyle w:val="12"/>
              <w:numPr>
                <w:ilvl w:val="0"/>
                <w:numId w:val="1"/>
              </w:numPr>
              <w:snapToGrid w:val="0"/>
              <w:spacing w:line="400" w:lineRule="exact"/>
              <w:ind w:left="0" w:firstLine="0" w:firstLineChars="0"/>
              <w:jc w:val="center"/>
              <w:rPr>
                <w:rFonts w:hint="eastAsia" w:ascii="仿宋_GB2312" w:hAnsi="仿宋"/>
                <w:spacing w:val="0"/>
                <w:sz w:val="24"/>
                <w:szCs w:val="24"/>
              </w:rPr>
            </w:pPr>
          </w:p>
        </w:tc>
        <w:tc>
          <w:tcPr>
            <w:tcW w:w="980" w:type="pct"/>
            <w:noWrap w:val="0"/>
            <w:vAlign w:val="center"/>
          </w:tcPr>
          <w:p>
            <w:pPr>
              <w:snapToGrid w:val="0"/>
              <w:spacing w:line="400" w:lineRule="exact"/>
              <w:jc w:val="center"/>
              <w:rPr>
                <w:rFonts w:hint="eastAsia" w:ascii="仿宋_GB2312" w:hAnsi="仿宋"/>
                <w:spacing w:val="0"/>
                <w:sz w:val="24"/>
                <w:szCs w:val="24"/>
              </w:rPr>
            </w:pPr>
            <w:r>
              <w:rPr>
                <w:rFonts w:hint="eastAsia" w:ascii="仿宋_GB2312" w:hAnsi="仿宋"/>
                <w:spacing w:val="0"/>
                <w:sz w:val="24"/>
                <w:szCs w:val="24"/>
              </w:rPr>
              <w:t>交通运输组</w:t>
            </w:r>
          </w:p>
        </w:tc>
        <w:tc>
          <w:tcPr>
            <w:tcW w:w="953" w:type="pct"/>
            <w:noWrap w:val="0"/>
            <w:vAlign w:val="center"/>
          </w:tcPr>
          <w:p>
            <w:pPr>
              <w:snapToGrid w:val="0"/>
              <w:spacing w:line="400" w:lineRule="exact"/>
              <w:jc w:val="center"/>
              <w:rPr>
                <w:rFonts w:hint="eastAsia" w:ascii="仿宋_GB2312" w:hAnsi="仿宋"/>
                <w:spacing w:val="0"/>
                <w:sz w:val="24"/>
                <w:szCs w:val="24"/>
              </w:rPr>
            </w:pPr>
            <w:r>
              <w:rPr>
                <w:rFonts w:hint="eastAsia" w:ascii="仿宋_GB2312" w:hAnsi="仿宋"/>
                <w:spacing w:val="0"/>
                <w:sz w:val="24"/>
                <w:szCs w:val="24"/>
              </w:rPr>
              <w:t>规建局</w:t>
            </w:r>
          </w:p>
        </w:tc>
        <w:tc>
          <w:tcPr>
            <w:tcW w:w="2716" w:type="pct"/>
            <w:noWrap w:val="0"/>
            <w:vAlign w:val="center"/>
          </w:tcPr>
          <w:p>
            <w:pPr>
              <w:snapToGrid w:val="0"/>
              <w:spacing w:line="400" w:lineRule="exact"/>
              <w:ind w:firstLine="480" w:firstLineChars="200"/>
              <w:jc w:val="left"/>
              <w:rPr>
                <w:rFonts w:hint="eastAsia" w:ascii="仿宋_GB2312" w:hAnsi="仿宋"/>
                <w:spacing w:val="0"/>
                <w:sz w:val="24"/>
                <w:szCs w:val="24"/>
              </w:rPr>
            </w:pPr>
            <w:r>
              <w:rPr>
                <w:rFonts w:hint="eastAsia" w:ascii="仿宋_GB2312" w:hAnsi="仿宋"/>
                <w:spacing w:val="0"/>
                <w:sz w:val="24"/>
                <w:szCs w:val="24"/>
              </w:rPr>
              <w:t>交警保税区大队、交警空港大队、交警新港路大队</w:t>
            </w:r>
            <w:r>
              <w:rPr>
                <w:rFonts w:ascii="仿宋_GB2312" w:hAnsi="仿宋"/>
                <w:spacing w:val="0"/>
                <w:sz w:val="24"/>
                <w:szCs w:val="24"/>
              </w:rPr>
              <w:t>、</w:t>
            </w:r>
            <w:r>
              <w:rPr>
                <w:rFonts w:hint="eastAsia" w:ascii="仿宋_GB2312" w:hAnsi="仿宋"/>
                <w:spacing w:val="0"/>
                <w:sz w:val="24"/>
                <w:szCs w:val="24"/>
              </w:rPr>
              <w:t>天保控股有限公司、临港投资控股有限公司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1" w:type="pct"/>
            <w:noWrap w:val="0"/>
            <w:vAlign w:val="center"/>
          </w:tcPr>
          <w:p>
            <w:pPr>
              <w:pStyle w:val="12"/>
              <w:numPr>
                <w:ilvl w:val="0"/>
                <w:numId w:val="1"/>
              </w:numPr>
              <w:snapToGrid w:val="0"/>
              <w:spacing w:line="400" w:lineRule="exact"/>
              <w:ind w:left="0" w:firstLine="0" w:firstLineChars="0"/>
              <w:jc w:val="center"/>
              <w:rPr>
                <w:rFonts w:hint="eastAsia" w:ascii="仿宋_GB2312" w:hAnsi="仿宋"/>
                <w:spacing w:val="0"/>
                <w:sz w:val="24"/>
                <w:szCs w:val="24"/>
              </w:rPr>
            </w:pPr>
          </w:p>
        </w:tc>
        <w:tc>
          <w:tcPr>
            <w:tcW w:w="980" w:type="pct"/>
            <w:noWrap w:val="0"/>
            <w:vAlign w:val="center"/>
          </w:tcPr>
          <w:p>
            <w:pPr>
              <w:snapToGrid w:val="0"/>
              <w:spacing w:line="400" w:lineRule="exact"/>
              <w:jc w:val="center"/>
              <w:rPr>
                <w:rFonts w:hint="eastAsia" w:ascii="仿宋_GB2312" w:hAnsi="仿宋"/>
                <w:spacing w:val="0"/>
                <w:sz w:val="24"/>
                <w:szCs w:val="24"/>
              </w:rPr>
            </w:pPr>
            <w:r>
              <w:rPr>
                <w:rFonts w:hint="eastAsia" w:ascii="仿宋_GB2312" w:hAnsi="仿宋"/>
                <w:spacing w:val="0"/>
                <w:sz w:val="24"/>
                <w:szCs w:val="24"/>
              </w:rPr>
              <w:t>信息发布组</w:t>
            </w:r>
          </w:p>
        </w:tc>
        <w:tc>
          <w:tcPr>
            <w:tcW w:w="953" w:type="pct"/>
            <w:noWrap w:val="0"/>
            <w:vAlign w:val="center"/>
          </w:tcPr>
          <w:p>
            <w:pPr>
              <w:snapToGrid w:val="0"/>
              <w:spacing w:line="400" w:lineRule="exact"/>
              <w:jc w:val="center"/>
              <w:rPr>
                <w:rFonts w:hint="eastAsia" w:ascii="仿宋_GB2312" w:hAnsi="仿宋"/>
                <w:spacing w:val="0"/>
                <w:sz w:val="24"/>
                <w:szCs w:val="24"/>
              </w:rPr>
            </w:pPr>
            <w:r>
              <w:rPr>
                <w:rFonts w:hint="eastAsia"/>
                <w:spacing w:val="0"/>
                <w:sz w:val="24"/>
              </w:rPr>
              <w:t>党建部</w:t>
            </w:r>
          </w:p>
        </w:tc>
        <w:tc>
          <w:tcPr>
            <w:tcW w:w="2716" w:type="pct"/>
            <w:noWrap w:val="0"/>
            <w:vAlign w:val="center"/>
          </w:tcPr>
          <w:p>
            <w:pPr>
              <w:snapToGrid w:val="0"/>
              <w:spacing w:line="400" w:lineRule="exact"/>
              <w:ind w:firstLine="480" w:firstLineChars="200"/>
              <w:jc w:val="left"/>
              <w:rPr>
                <w:rFonts w:hint="eastAsia" w:ascii="仿宋_GB2312" w:hAnsi="仿宋"/>
                <w:spacing w:val="0"/>
                <w:sz w:val="24"/>
                <w:szCs w:val="24"/>
              </w:rPr>
            </w:pPr>
            <w:r>
              <w:rPr>
                <w:rFonts w:hint="eastAsia" w:ascii="仿宋_GB2312" w:hAnsi="仿宋"/>
                <w:spacing w:val="0"/>
                <w:sz w:val="24"/>
                <w:szCs w:val="24"/>
              </w:rPr>
              <w:t>应急局、社发局</w:t>
            </w:r>
            <w:r>
              <w:rPr>
                <w:rFonts w:hint="eastAsia"/>
                <w:spacing w:val="0"/>
                <w:sz w:val="24"/>
              </w:rPr>
              <w:t>、</w:t>
            </w:r>
            <w:r>
              <w:rPr>
                <w:rFonts w:hint="eastAsia"/>
                <w:spacing w:val="0"/>
                <w:sz w:val="24"/>
                <w:lang w:eastAsia="zh-CN"/>
              </w:rPr>
              <w:t>新材料局</w:t>
            </w:r>
            <w:r>
              <w:rPr>
                <w:rFonts w:hint="eastAsia"/>
                <w:spacing w:val="0"/>
                <w:sz w:val="24"/>
              </w:rPr>
              <w:t>（参与临港新材料产业园危化品事故）、</w:t>
            </w:r>
            <w:r>
              <w:rPr>
                <w:rFonts w:hint="eastAsia" w:ascii="仿宋_GB2312" w:hAnsi="仿宋"/>
                <w:spacing w:val="0"/>
                <w:sz w:val="24"/>
                <w:szCs w:val="24"/>
              </w:rPr>
              <w:t>负有安全监管职责相关部门</w:t>
            </w:r>
          </w:p>
        </w:tc>
      </w:tr>
    </w:tbl>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2.2.4.1应急救援组职责</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牵头部门：应急局</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成员单位：保税区消防救援支队、管委会办公室、社发局、市场</w:t>
      </w:r>
      <w:r>
        <w:rPr>
          <w:rFonts w:hint="eastAsia" w:ascii="仿宋_GB2312"/>
          <w:color w:val="000000"/>
          <w:spacing w:val="0"/>
          <w:szCs w:val="32"/>
          <w:lang w:eastAsia="zh-CN"/>
        </w:rPr>
        <w:t>监管</w:t>
      </w:r>
      <w:r>
        <w:rPr>
          <w:rFonts w:hint="eastAsia" w:ascii="仿宋_GB2312"/>
          <w:color w:val="000000"/>
          <w:spacing w:val="0"/>
          <w:szCs w:val="32"/>
        </w:rPr>
        <w:t>局、城环局、规建局、</w:t>
      </w:r>
      <w:r>
        <w:rPr>
          <w:rFonts w:hint="eastAsia" w:ascii="仿宋_GB2312"/>
          <w:color w:val="000000"/>
          <w:spacing w:val="0"/>
          <w:szCs w:val="32"/>
          <w:lang w:eastAsia="zh-CN"/>
        </w:rPr>
        <w:t>新材料局</w:t>
      </w:r>
      <w:r>
        <w:rPr>
          <w:rFonts w:hint="eastAsia" w:ascii="仿宋_GB2312"/>
          <w:color w:val="000000"/>
          <w:spacing w:val="0"/>
          <w:szCs w:val="32"/>
        </w:rPr>
        <w:t>（参与临港新材料产业园危化品事故处置）、发改局、</w:t>
      </w:r>
      <w:r>
        <w:rPr>
          <w:rFonts w:hint="eastAsia" w:ascii="仿宋_GB2312"/>
          <w:color w:val="000000"/>
          <w:spacing w:val="0"/>
          <w:szCs w:val="32"/>
          <w:lang w:eastAsia="zh-CN"/>
        </w:rPr>
        <w:t>工信局、口岸局</w:t>
      </w:r>
      <w:r>
        <w:rPr>
          <w:rFonts w:hint="eastAsia" w:ascii="仿宋_GB2312"/>
          <w:color w:val="000000"/>
          <w:spacing w:val="0"/>
          <w:szCs w:val="32"/>
        </w:rPr>
        <w:t>、事故发生单位</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职责：</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（1）负责提出危化品事故现场应急抢险方案和安全措施。</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（2）负责现场受伤、受困人员的搜救。</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（3）负责事故现场灭火、堵漏、破拆等抢险作业，控制险情。</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（4）负责事故现场的洗消工作。</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2.2.4.2医疗救护组职责</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牵头部门：社发局</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成员单位：群团部、联系协调新区急救中心及相关专业医疗机构</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职责：</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（1）组织有关人员对事故现场受伤人员进行救助，协调联系新区急救分中心转运伤者到附近医院进行治疗。</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（2）在专业救助人员到达现场后，协助对现场受伤人员进行紧急救助。</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（3）及时向现场指挥部通报伤员医疗救治情况，协助统计伤亡人数。</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2.2.4.3治安保障组职责</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牵头部门：管委会办公室</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成员单位：环河北路派出所、航空路派出所、京门大道派出所、临港派出所、东沽派出所、高沙岭派出所、东环路派出所、事故发生单位及周边相关单位。</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职责：</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（1）根据现场指挥部发布的警报和防护措施，指导相关区域的人员实施疏散及重要物资转移等工作。</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（2）负责事故现场的警戒和治安管理，维持现场秩序，在人员疏散区进行治安巡逻。</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（3）对重要目标实施保护，维护社会治安。</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（4）统计事故中受伤及失踪人员情况。</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2.2.4.4物资保障组职责</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牵头部门：应急局</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成员单位：发改局、</w:t>
      </w:r>
      <w:r>
        <w:rPr>
          <w:rFonts w:hint="eastAsia" w:ascii="仿宋_GB2312"/>
          <w:color w:val="000000"/>
          <w:spacing w:val="0"/>
          <w:szCs w:val="32"/>
          <w:lang w:eastAsia="zh-CN"/>
        </w:rPr>
        <w:t>工信局、</w:t>
      </w:r>
      <w:r>
        <w:rPr>
          <w:rFonts w:hint="eastAsia" w:ascii="仿宋_GB2312"/>
          <w:color w:val="000000"/>
          <w:spacing w:val="0"/>
          <w:szCs w:val="32"/>
        </w:rPr>
        <w:t>商务局、财政局、规建局、市场</w:t>
      </w:r>
      <w:r>
        <w:rPr>
          <w:rFonts w:hint="eastAsia" w:ascii="仿宋_GB2312"/>
          <w:color w:val="000000"/>
          <w:spacing w:val="0"/>
          <w:szCs w:val="32"/>
          <w:lang w:eastAsia="zh-CN"/>
        </w:rPr>
        <w:t>监管</w:t>
      </w:r>
      <w:r>
        <w:rPr>
          <w:rFonts w:hint="eastAsia" w:ascii="仿宋_GB2312"/>
          <w:color w:val="000000"/>
          <w:spacing w:val="0"/>
          <w:szCs w:val="32"/>
        </w:rPr>
        <w:t>局、城环局、社发局、天保控股有限公司、临港投资控股有限公司</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职责：</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（1）负责组织应急抢险器材和物资的供应，并组织车辆运输。</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 xml:space="preserve">（2）负责调集应急所需危险化学品运输车辆、特种工程机械和特种工程车辆。 </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（3）负责组织公用设施的排险和抢修。</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（4）负责应急所需燃气、供水、电力、热力及路灯、路桥、排水等公用的保障工作。</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（5）负责应急救援所需的通讯、交通、食宿、医药、防护用品等后勤保障工作。</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2.2.4.5环境监测组职责</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牵头部门：城环局</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成员单位：事故发生单位</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职责：</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（1）负责对事件影响区域的大气、水、土壤等环境质量监测。</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（2）对引发的环境污染开展现场监测。</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（3）负责对事故可能引发的环境污染进行评估，提出污染控制建议，协助核实污染损害情况。</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2.2.4.6交通运输组职责</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牵头部门：规建局</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成员单位：交警保税区大队、交警空港大队、交警新港路大队、天保控股有限公司、临港投资控股有限公司</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职责：</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（1）负责组织、协调和指挥辖区内道路运输保障应急任务。</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（2）负责组织应急抢险器材和物资的运输。</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（3）负责调集应急所需危险化学品运输车辆、特种工程机械和特种工程车辆等，保障车辆调配。</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（4）负责车辆的指挥疏通，对危害区域外围的交通路口实施定向、定时封锁，禁止无关车辆进入危险区域，及时疏导交通阻塞，保障救援道路的畅通。</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（5）负责协调解决道路运输保障应急任务中出现的各种问题，保障道路运输任务畅通。</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2.2.4.7信息发布组职责</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牵头部门：党建部</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成员单位：应急局、社发局、</w:t>
      </w:r>
      <w:r>
        <w:rPr>
          <w:rFonts w:hint="eastAsia" w:ascii="仿宋_GB2312"/>
          <w:color w:val="000000"/>
          <w:spacing w:val="0"/>
          <w:szCs w:val="32"/>
          <w:lang w:eastAsia="zh-CN"/>
        </w:rPr>
        <w:t>新材料局</w:t>
      </w:r>
      <w:r>
        <w:rPr>
          <w:rFonts w:hint="eastAsia" w:ascii="仿宋_GB2312"/>
          <w:color w:val="000000"/>
          <w:spacing w:val="0"/>
          <w:szCs w:val="32"/>
        </w:rPr>
        <w:t>（参与临港新材料产业园危化品事故）、负有安全监管职责相关部门</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职责：</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（1）负责媒体接待。</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（2）负责协助上级政府部门实施危化品事故现场采访管理和新闻发布工作。</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（3）负责新闻稿、公告、信息发布材料和上报材料的起草、修审工作。</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（4）根据专项应急指挥部指令，组织对外发布信息。</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bookmarkStart w:id="42" w:name="_Toc27385907"/>
      <w:bookmarkStart w:id="43" w:name="_Toc59372319"/>
      <w:r>
        <w:rPr>
          <w:rFonts w:hint="eastAsia" w:ascii="仿宋_GB2312"/>
          <w:color w:val="000000"/>
          <w:spacing w:val="0"/>
          <w:szCs w:val="32"/>
        </w:rPr>
        <w:t>2.2.5应急处置专家职责</w:t>
      </w:r>
      <w:bookmarkEnd w:id="42"/>
      <w:bookmarkEnd w:id="43"/>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牵头部门：应急局</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成员单位：市场</w:t>
      </w:r>
      <w:r>
        <w:rPr>
          <w:rFonts w:hint="eastAsia" w:ascii="仿宋_GB2312"/>
          <w:color w:val="000000"/>
          <w:spacing w:val="0"/>
          <w:szCs w:val="32"/>
          <w:lang w:eastAsia="zh-CN"/>
        </w:rPr>
        <w:t>监管</w:t>
      </w:r>
      <w:r>
        <w:rPr>
          <w:rFonts w:hint="eastAsia" w:ascii="仿宋_GB2312"/>
          <w:color w:val="000000"/>
          <w:spacing w:val="0"/>
          <w:szCs w:val="32"/>
        </w:rPr>
        <w:t>局、城环局、规建局、发改局、</w:t>
      </w:r>
      <w:r>
        <w:rPr>
          <w:rFonts w:hint="eastAsia" w:ascii="仿宋_GB2312"/>
          <w:color w:val="000000"/>
          <w:spacing w:val="0"/>
          <w:szCs w:val="32"/>
          <w:lang w:eastAsia="zh-CN"/>
        </w:rPr>
        <w:t>工信局、口岸局</w:t>
      </w:r>
      <w:r>
        <w:rPr>
          <w:rFonts w:hint="eastAsia" w:ascii="仿宋_GB2312"/>
          <w:color w:val="000000"/>
          <w:spacing w:val="0"/>
          <w:szCs w:val="32"/>
        </w:rPr>
        <w:t>、天保控股有限公司、临港投资控股有限公司、专家成员</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职责：</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负责组织相关部门及有关专家组成应急专家组，负责协助现场指挥部判断事故危害发展的趋势、程度，分析事故原因，提出应急救援措施和建议，为现场指挥部的决策提供依据和方案。</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bookmarkStart w:id="44" w:name="_Toc59372320"/>
      <w:bookmarkStart w:id="45" w:name="_Toc27385908"/>
      <w:r>
        <w:rPr>
          <w:rFonts w:hint="eastAsia" w:ascii="仿宋_GB2312"/>
          <w:color w:val="000000"/>
          <w:spacing w:val="0"/>
          <w:szCs w:val="32"/>
        </w:rPr>
        <w:t>2.2.6综合应急救援队伍职责</w:t>
      </w:r>
      <w:bookmarkEnd w:id="44"/>
      <w:bookmarkEnd w:id="45"/>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牵头单位：保税区消防救援支队</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成员单位：临港大队、中环西路消防救援站、西九道消防救援站、天保大道消防救援站、东七道消防救援站、临港消防救援站</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职责：负责事故危害区域的侦察、救生、控险、排险、灭火、洗消，尽快控制并消除事故，营救受伤、受困人员。</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bookmarkStart w:id="46" w:name="_Toc59372321"/>
      <w:r>
        <w:rPr>
          <w:rFonts w:hint="eastAsia" w:ascii="仿宋_GB2312"/>
          <w:color w:val="000000"/>
          <w:spacing w:val="0"/>
          <w:szCs w:val="32"/>
        </w:rPr>
        <w:t>2.2.7辅助救援力量</w:t>
      </w:r>
      <w:bookmarkEnd w:id="46"/>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牵头部门：群团部</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成员单位：红十字会、志愿者队伍</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职责：</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协助各委办局开展日常应急救护、信息收集、防灾避险知识普及等宣传教育工作，遇灾时组织人员自救互救，辅助专业救援队伍开展应急救援行动。</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bookmarkStart w:id="47" w:name="_Toc59372322"/>
      <w:bookmarkStart w:id="48" w:name="_Toc27385909"/>
      <w:r>
        <w:rPr>
          <w:rFonts w:hint="eastAsia" w:ascii="仿宋_GB2312"/>
          <w:color w:val="000000"/>
          <w:spacing w:val="0"/>
          <w:szCs w:val="32"/>
        </w:rPr>
        <w:t>2.2.8生产经营单位职责</w:t>
      </w:r>
      <w:bookmarkEnd w:id="47"/>
      <w:bookmarkEnd w:id="48"/>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组长：生产经营单位主要负责人</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成员：生产经营单位应急救援队伍成员</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职责：</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生产经营单位的危险化学品事故应急处置工作由该单位主要负责人负责组织实施，准备工作由分管领导、生产、安全部门或指定的部门负责落实。</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（1）落实企业安全生产主体责任，制定各项安全生产管理制度，确定事故应急组织体系及职责，编制危化品事故应急预案，并报保税区负有安全生产监督管理职责的部门备案。</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（2）建立本单位危化品事故应急救援队伍，配备必要的防护、救援器材和设备，定期进行检查和维护保养，并指定专人管理。</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（3）对职工进行危化品事故应急救援知识培训，定期组织应急演练。</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（4）确定本单位的应急指挥人员，负责启动预案，组织应急抢险。根据事故危害情况和事态发展趋势，做出扩大应急决定，并将事故相关信息立即报告应急局、消防、公安、城环局、市场局等相关部门。</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当相邻单位发生火灾、爆炸、危险化学品泄漏等生产安全事故时，做好相应的应急准备，接受政府的指令和调动。</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（5）事故发生时，组织本单位职工做好疏散撤离工作，并协助做好厂区周围群众的防护和撤离工作。</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（6）保税区现场指挥部成立后，单位负责人接受保税区现场指挥部统一指挥。</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（7）负责保护事故现场及相关证据，事故应急救援结束后配合有关部门及时查清事故原因及受损情况。</w:t>
      </w:r>
    </w:p>
    <w:p>
      <w:pPr>
        <w:pStyle w:val="13"/>
        <w:widowControl w:val="0"/>
        <w:jc w:val="both"/>
      </w:pPr>
      <w:bookmarkStart w:id="49" w:name="_Toc59372324"/>
      <w:bookmarkStart w:id="50" w:name="_Toc27385934"/>
      <w:bookmarkStart w:id="51" w:name="_Toc447788790"/>
      <w:r>
        <w:t>3 预警及信息报告</w:t>
      </w:r>
      <w:bookmarkEnd w:id="49"/>
      <w:bookmarkEnd w:id="50"/>
    </w:p>
    <w:p>
      <w:pPr>
        <w:pStyle w:val="9"/>
        <w:keepNext w:val="0"/>
        <w:keepLines w:val="0"/>
        <w:widowControl w:val="0"/>
        <w:ind w:firstLine="643"/>
        <w:jc w:val="both"/>
        <w:rPr>
          <w:rFonts w:hint="eastAsia"/>
          <w:b/>
          <w:color w:val="000000"/>
        </w:rPr>
      </w:pPr>
      <w:bookmarkStart w:id="52" w:name="_Toc459795135"/>
      <w:bookmarkStart w:id="53" w:name="_Toc499274467"/>
      <w:bookmarkStart w:id="54" w:name="_Toc459017532"/>
      <w:bookmarkStart w:id="55" w:name="_Toc462410602"/>
      <w:bookmarkStart w:id="56" w:name="_Toc27385935"/>
      <w:bookmarkStart w:id="57" w:name="_Toc59372325"/>
      <w:bookmarkStart w:id="58" w:name="_Toc458440308"/>
      <w:bookmarkStart w:id="59" w:name="_Toc459034227"/>
      <w:bookmarkStart w:id="60" w:name="_Toc496764861"/>
      <w:r>
        <w:rPr>
          <w:rFonts w:hint="eastAsia"/>
          <w:b/>
          <w:color w:val="000000"/>
        </w:rPr>
        <w:t>3.1预警</w:t>
      </w:r>
      <w:bookmarkEnd w:id="52"/>
      <w:bookmarkEnd w:id="53"/>
      <w:bookmarkEnd w:id="54"/>
      <w:bookmarkEnd w:id="55"/>
      <w:bookmarkEnd w:id="56"/>
      <w:bookmarkEnd w:id="57"/>
      <w:bookmarkEnd w:id="58"/>
      <w:bookmarkEnd w:id="59"/>
      <w:bookmarkEnd w:id="60"/>
    </w:p>
    <w:p>
      <w:pPr>
        <w:pStyle w:val="11"/>
        <w:widowControl w:val="0"/>
        <w:jc w:val="both"/>
        <w:rPr>
          <w:b w:val="0"/>
        </w:rPr>
      </w:pPr>
      <w:bookmarkStart w:id="61" w:name="_Toc462410604"/>
      <w:bookmarkStart w:id="62" w:name="_Toc27385936"/>
      <w:bookmarkStart w:id="63" w:name="_Toc458440309"/>
      <w:bookmarkStart w:id="64" w:name="_Toc496764563"/>
      <w:bookmarkStart w:id="65" w:name="_Toc459034228"/>
      <w:bookmarkStart w:id="66" w:name="_Toc59372326"/>
      <w:bookmarkStart w:id="67" w:name="_Toc459795137"/>
      <w:bookmarkStart w:id="68" w:name="_Toc459017533"/>
      <w:r>
        <w:rPr>
          <w:b w:val="0"/>
        </w:rPr>
        <w:t>3.1.1预警</w:t>
      </w:r>
      <w:bookmarkEnd w:id="61"/>
      <w:bookmarkEnd w:id="62"/>
      <w:bookmarkEnd w:id="63"/>
      <w:bookmarkEnd w:id="64"/>
      <w:bookmarkEnd w:id="65"/>
      <w:bookmarkEnd w:id="66"/>
      <w:bookmarkEnd w:id="67"/>
      <w:bookmarkEnd w:id="68"/>
      <w:r>
        <w:rPr>
          <w:b w:val="0"/>
        </w:rPr>
        <w:t>发布</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按照危险化学品事故紧急程度、发展态势和可能造成的危害程度，预警级别由高到低划分为一级、二级、三级和四级，依次采用红色、橙色、黄色和蓝色标示。</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蓝色预警信息由新区人民政府负责发布，并将相关情况上报市人民政府；需发布黄色、橙色、红色预警信息，经研判由新区指挥部上报市指挥部，由市指挥部按规定程序发布，并根据事态发展，发布单位可实时调整预警级别并重新报告、发布有关预警信息。</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保税区收到预警信息后，立即通过电话、传真、网络等方式转发区内相关成员单位、预警区域和危险化学品单位。</w:t>
      </w:r>
    </w:p>
    <w:p>
      <w:pPr>
        <w:pStyle w:val="11"/>
        <w:widowControl w:val="0"/>
        <w:jc w:val="both"/>
        <w:rPr>
          <w:b w:val="0"/>
        </w:rPr>
      </w:pPr>
      <w:r>
        <w:rPr>
          <w:b w:val="0"/>
        </w:rPr>
        <w:t>3.1.2预警响应</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蓝色预警响应：上级发布涉及保税区的蓝色预警后，保税区相关成员单位、预警区域、危险化学品单位做好应急救援准备，执行24小时值班值守；加强事态发展情况的监测、预报，及时掌握事态发展态势以及可能的影响范围和强度；组织专家和技术人员对事态进行分析评估，提出风险管控措施；组织应急救援队伍、应急救援物资装备，随时做好救援准备。</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（2）黄色、橙色、红色预警响应：在上述措施基础上，由新区指挥部上报市指挥部后，按照《天津市危险化学品事故应急预案》相关规定执行，保税区按照预警响应要求配合做好相关工作。</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保税区范围内自然灾害、事故灾难、公共卫生和社会安全方面的突发事件可能引发危险化学品事故的信息，由保税区专项应急指挥部及时通报新区指挥部办公室。上级政府启动应急响应后，保税区在上级应急指挥机构的统一指挥下，做好危险化学品事故应对工作。</w:t>
      </w:r>
    </w:p>
    <w:p>
      <w:pPr>
        <w:pStyle w:val="11"/>
        <w:widowControl w:val="0"/>
        <w:jc w:val="both"/>
        <w:rPr>
          <w:b w:val="0"/>
        </w:rPr>
      </w:pPr>
      <w:r>
        <w:rPr>
          <w:b w:val="0"/>
        </w:rPr>
        <w:t>3.1.3预警调整和解除</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预警信息实行动态管理。当事故扩大或可能发生的事故级别预测会升级，预计现场应急救援力量无法有效消除事故险情时，发布单位应及时上报和调整预警级别并重新发布。</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highlight w:val="yellow"/>
        </w:rPr>
      </w:pPr>
      <w:r>
        <w:rPr>
          <w:rFonts w:hint="eastAsia" w:ascii="仿宋_GB2312"/>
          <w:color w:val="000000"/>
          <w:spacing w:val="0"/>
          <w:szCs w:val="32"/>
        </w:rPr>
        <w:t>根据事态进展，研判危险化学品事故不可能发生或危险已经解除时，立即宣布解除警报，终止预警期，解除已采取的有关措施。蓝色预警信息由发布预警信息的新区人民政府宣布解除；黄色、橙色、红色预警信息须上报市指挥部报请市政府批准宣布解除。</w:t>
      </w:r>
    </w:p>
    <w:p>
      <w:pPr>
        <w:pStyle w:val="9"/>
        <w:keepNext w:val="0"/>
        <w:keepLines w:val="0"/>
        <w:widowControl w:val="0"/>
        <w:ind w:firstLine="643"/>
        <w:jc w:val="both"/>
        <w:rPr>
          <w:rFonts w:hint="eastAsia"/>
          <w:b/>
          <w:color w:val="000000"/>
        </w:rPr>
      </w:pPr>
      <w:bookmarkStart w:id="69" w:name="_Toc59372331"/>
      <w:bookmarkStart w:id="70" w:name="_Toc27385941"/>
      <w:r>
        <w:rPr>
          <w:rFonts w:hint="eastAsia"/>
          <w:b/>
          <w:color w:val="000000"/>
        </w:rPr>
        <w:t>3.2信息接报</w:t>
      </w:r>
      <w:bookmarkEnd w:id="69"/>
      <w:bookmarkEnd w:id="70"/>
    </w:p>
    <w:p>
      <w:pPr>
        <w:pStyle w:val="11"/>
        <w:widowControl w:val="0"/>
        <w:jc w:val="both"/>
        <w:rPr>
          <w:b w:val="0"/>
        </w:rPr>
      </w:pPr>
      <w:bookmarkStart w:id="71" w:name="_Toc59372332"/>
      <w:r>
        <w:rPr>
          <w:b w:val="0"/>
        </w:rPr>
        <w:t>3.2.1信息接报</w:t>
      </w:r>
      <w:bookmarkEnd w:id="71"/>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危险化学品事故发生单位、获悉事故信息的单位或个人，应立即拨打消防119、公安110、医疗急救120请求专业救援，同时直接拨打辖区内负有危险化学品安全监管职责各部门应急电话，专项应急办危险化学品事故值班电话（24小时应急值守电话：022-66619000）。</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对于可能造成重大事故的信息，各单位和人员在按流程报送信息的同时，保税区主要领导可直接向区委、区政府有关领导报告。首报要在20分钟内电话报告，40分钟内书面报送。对于要求核报的信息，要迅速核实，电话反馈时间不得超过20分钟，要求报送书面信息的，反馈时间不得超过40分钟。</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3.各危险化学品生产经营单位和保税区各职能部门的应急电话要保证24小时畅通，有关人员保证能够随时取得联系并快速到位。同时，要按照本单位、本部门的应急工作职责，尽快展开应急救援工作。</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4.信息报告</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报告内容一般应包括以下内容：</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A 事故发生单位概况。</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B 事故发生的时间，地点以及事故现场情况。</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C 信息来源。</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D 事故的简要经过。</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E 主要危害物质及危险源。</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F 事故已经造成或者可能造成的伤亡人数（包括下落不明人数）。初步估计的直接经济损失。</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G 事故波及范围和发展趋势。</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H 已经采取的措施。</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I 事故报告单位、报告时间等。</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在应急处置过程中，要及时续报救援工作的进展情况。</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bookmarkStart w:id="72" w:name="_Toc59372333"/>
      <w:bookmarkStart w:id="73" w:name="_Toc27385943"/>
      <w:r>
        <w:rPr>
          <w:rFonts w:hint="eastAsia" w:ascii="仿宋_GB2312"/>
          <w:color w:val="000000"/>
          <w:spacing w:val="0"/>
          <w:szCs w:val="32"/>
        </w:rPr>
        <w:t>3.2.2信息处置与研判</w:t>
      </w:r>
      <w:bookmarkEnd w:id="72"/>
      <w:bookmarkEnd w:id="73"/>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1.专项应急办接到事故报告后，立即向专项应急指挥部报告。</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2.专项应急指挥部根据事故的性质、严重程度、影响范围和可控性，对事故进行研判，作出应急准备或应急响应启动的决策。</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3.专项应急指挥部成员单位接到应急准备或应急响应启动的指令后，立即安排应急人员迅速做好应急准备或开展应急处置。</w:t>
      </w:r>
    </w:p>
    <w:p>
      <w:pPr>
        <w:pStyle w:val="13"/>
        <w:widowControl w:val="0"/>
        <w:jc w:val="both"/>
      </w:pPr>
      <w:bookmarkStart w:id="74" w:name="_Toc471475030"/>
      <w:bookmarkStart w:id="75" w:name="_Toc27385944"/>
      <w:bookmarkStart w:id="76" w:name="_Toc25313590"/>
      <w:bookmarkStart w:id="77" w:name="_Toc59372334"/>
      <w:r>
        <w:t>4 分级响应及应急启动</w:t>
      </w:r>
      <w:bookmarkEnd w:id="74"/>
      <w:bookmarkEnd w:id="75"/>
      <w:bookmarkEnd w:id="76"/>
      <w:bookmarkEnd w:id="77"/>
    </w:p>
    <w:p>
      <w:pPr>
        <w:pStyle w:val="9"/>
        <w:keepNext w:val="0"/>
        <w:keepLines w:val="0"/>
        <w:widowControl w:val="0"/>
        <w:ind w:firstLine="643"/>
        <w:jc w:val="both"/>
        <w:rPr>
          <w:rFonts w:hint="eastAsia"/>
          <w:b/>
          <w:color w:val="000000"/>
        </w:rPr>
      </w:pPr>
      <w:bookmarkStart w:id="78" w:name="_Toc27385945"/>
      <w:bookmarkStart w:id="79" w:name="_Toc59372335"/>
      <w:r>
        <w:rPr>
          <w:rFonts w:hint="eastAsia"/>
          <w:b/>
          <w:color w:val="000000"/>
        </w:rPr>
        <w:t>4.1分级响应</w:t>
      </w:r>
      <w:bookmarkEnd w:id="78"/>
      <w:bookmarkEnd w:id="79"/>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根据危险化学品事故初判危害程度、影响范围及《天津市危险化学品事故应急预案》《滨海新区危险化学品事故应急预案》规定，一般危险化学品事故由新区层面响应，较大及以上危险化学品事故由市级层面响应。</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上级政府启动应急响应后，保税区在上级应急指挥机构的统一指挥下，做好危险化学品事故应对工作。</w:t>
      </w:r>
    </w:p>
    <w:p>
      <w:pPr>
        <w:pStyle w:val="9"/>
        <w:keepNext w:val="0"/>
        <w:keepLines w:val="0"/>
        <w:widowControl w:val="0"/>
        <w:ind w:firstLine="643"/>
        <w:jc w:val="both"/>
        <w:rPr>
          <w:rFonts w:hint="eastAsia"/>
          <w:b/>
          <w:color w:val="000000"/>
        </w:rPr>
      </w:pPr>
      <w:bookmarkStart w:id="80" w:name="_Toc496764868"/>
      <w:bookmarkStart w:id="81" w:name="_Toc459017540"/>
      <w:bookmarkStart w:id="82" w:name="_Toc459034235"/>
      <w:bookmarkStart w:id="83" w:name="_Toc462410611"/>
      <w:bookmarkStart w:id="84" w:name="_Toc459795144"/>
      <w:bookmarkStart w:id="85" w:name="_Toc499274472"/>
      <w:bookmarkStart w:id="86" w:name="_Toc458440315"/>
      <w:bookmarkStart w:id="87" w:name="_Toc59372336"/>
      <w:bookmarkStart w:id="88" w:name="_Toc27385946"/>
      <w:r>
        <w:rPr>
          <w:rFonts w:hint="eastAsia"/>
          <w:b/>
          <w:color w:val="000000"/>
        </w:rPr>
        <w:t>4.2响应</w:t>
      </w:r>
      <w:bookmarkEnd w:id="80"/>
      <w:bookmarkEnd w:id="81"/>
      <w:bookmarkEnd w:id="82"/>
      <w:bookmarkEnd w:id="83"/>
      <w:bookmarkEnd w:id="84"/>
      <w:bookmarkEnd w:id="85"/>
      <w:bookmarkEnd w:id="86"/>
      <w:bookmarkEnd w:id="87"/>
      <w:bookmarkEnd w:id="88"/>
      <w:r>
        <w:rPr>
          <w:rFonts w:hint="eastAsia"/>
          <w:b/>
          <w:color w:val="000000"/>
        </w:rPr>
        <w:t>启动</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专项应急指挥部总指挥下达应急响应指令，组织应急力量进行先期处置，各应急救援小组根据职责进行现场处置，同时报请滨海新区或滨海新区专项应急指挥部启动应急响应，待滨海新区或上级政府应急处置人员到达后，立即移交应急指挥权，并汇报事故情况、进展、风险以及影响控制事态的关键因素等问题，服从上级政府的应急指挥。</w:t>
      </w:r>
    </w:p>
    <w:p>
      <w:pPr>
        <w:pStyle w:val="9"/>
        <w:keepNext w:val="0"/>
        <w:keepLines w:val="0"/>
        <w:widowControl w:val="0"/>
        <w:ind w:firstLine="643"/>
        <w:jc w:val="both"/>
        <w:rPr>
          <w:rFonts w:hint="eastAsia"/>
          <w:b/>
          <w:color w:val="000000"/>
        </w:rPr>
      </w:pPr>
      <w:bookmarkStart w:id="89" w:name="_Toc59372337"/>
      <w:bookmarkStart w:id="90" w:name="_Toc27385948"/>
      <w:bookmarkStart w:id="91" w:name="_Toc471475031"/>
      <w:bookmarkStart w:id="92" w:name="_Toc25313591"/>
      <w:r>
        <w:rPr>
          <w:rFonts w:hint="eastAsia"/>
          <w:b/>
          <w:bCs w:val="0"/>
          <w:color w:val="000000"/>
        </w:rPr>
        <w:t>4.3先期处置</w:t>
      </w:r>
      <w:bookmarkEnd w:id="89"/>
      <w:bookmarkEnd w:id="90"/>
      <w:bookmarkEnd w:id="91"/>
      <w:bookmarkEnd w:id="92"/>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生产经营单位发生事故后，应第一时间启动本单位应急预案，开展应急处置工作，拨打“120”或“119”报警电话，同时单位主要负责人按上报时限将事故情况报告专项应急办。</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专项应急指挥部根据危险化学品事故现场实际情况，立即组织现场应急处置工作，各应急救援小组立即赶赴事故现场进行危险化学品事故处置。专项应急指挥部总指挥、副总指挥未到达事故现场前，现场危险化学品事故处置部门的主要负责人承担现场临时应急指挥职责。</w:t>
      </w:r>
    </w:p>
    <w:bookmarkEnd w:id="51"/>
    <w:p>
      <w:pPr>
        <w:pStyle w:val="9"/>
        <w:keepNext w:val="0"/>
        <w:keepLines w:val="0"/>
        <w:widowControl w:val="0"/>
        <w:ind w:firstLine="643"/>
        <w:jc w:val="both"/>
        <w:rPr>
          <w:rFonts w:hint="eastAsia"/>
          <w:b/>
          <w:color w:val="000000"/>
        </w:rPr>
      </w:pPr>
      <w:bookmarkStart w:id="93" w:name="_Toc276209629"/>
      <w:bookmarkStart w:id="94" w:name="_Toc20026"/>
      <w:bookmarkStart w:id="95" w:name="_Toc293561527"/>
      <w:bookmarkStart w:id="96" w:name="_Toc293931853"/>
      <w:bookmarkStart w:id="97" w:name="_Toc353440185"/>
      <w:bookmarkStart w:id="98" w:name="_Toc289072494"/>
      <w:bookmarkStart w:id="99" w:name="_Toc441271312"/>
      <w:bookmarkStart w:id="100" w:name="_Toc464153237"/>
      <w:bookmarkStart w:id="101" w:name="_Toc471475032"/>
      <w:bookmarkStart w:id="102" w:name="_Toc10199"/>
      <w:bookmarkStart w:id="103" w:name="_Toc59372340"/>
      <w:bookmarkStart w:id="104" w:name="_Toc2557"/>
      <w:bookmarkStart w:id="105" w:name="_Toc298679387"/>
      <w:bookmarkStart w:id="106" w:name="_Toc293414334"/>
      <w:bookmarkStart w:id="107" w:name="_Toc232218298"/>
      <w:bookmarkStart w:id="108" w:name="_Toc27385951"/>
      <w:bookmarkStart w:id="109" w:name="_Toc25313592"/>
      <w:bookmarkStart w:id="110" w:name="_Toc288988983"/>
      <w:bookmarkStart w:id="111" w:name="_Toc275758834"/>
      <w:bookmarkStart w:id="112" w:name="_Toc362094827"/>
      <w:bookmarkStart w:id="113" w:name="_Toc289006988"/>
      <w:bookmarkStart w:id="114" w:name="_Toc279065778"/>
      <w:bookmarkStart w:id="115" w:name="_Toc289071959"/>
      <w:bookmarkStart w:id="116" w:name="_Toc273601076"/>
      <w:bookmarkStart w:id="117" w:name="_Toc285091711"/>
      <w:bookmarkStart w:id="118" w:name="_Toc293563013"/>
      <w:bookmarkStart w:id="119" w:name="_Toc443601297"/>
      <w:bookmarkStart w:id="120" w:name="_Toc275758724"/>
      <w:bookmarkStart w:id="121" w:name="_Toc289006844"/>
      <w:bookmarkStart w:id="122" w:name="_Toc289071834"/>
      <w:bookmarkStart w:id="123" w:name="_Toc277683572"/>
      <w:bookmarkStart w:id="124" w:name="_Toc353440643"/>
      <w:bookmarkStart w:id="125" w:name="_Toc293562204"/>
      <w:bookmarkStart w:id="126" w:name="_Toc280533544"/>
      <w:bookmarkStart w:id="127" w:name="_Toc293564632"/>
      <w:bookmarkStart w:id="128" w:name="_Toc276209429"/>
      <w:bookmarkStart w:id="129" w:name="_Toc353440338"/>
      <w:bookmarkStart w:id="130" w:name="_Toc289074571"/>
      <w:bookmarkStart w:id="131" w:name="_Toc274725663"/>
      <w:bookmarkStart w:id="132" w:name="_Toc261091807"/>
      <w:bookmarkStart w:id="133" w:name="_Toc293562470"/>
      <w:bookmarkStart w:id="134" w:name="_Toc289069582"/>
      <w:bookmarkStart w:id="135" w:name="_Toc276209294"/>
      <w:bookmarkStart w:id="136" w:name="_Toc293557805"/>
      <w:bookmarkStart w:id="137" w:name="_Toc293563358"/>
      <w:bookmarkStart w:id="138" w:name="_Toc287275766"/>
      <w:bookmarkStart w:id="139" w:name="_Toc273605853"/>
      <w:bookmarkStart w:id="140" w:name="_Toc298680691"/>
      <w:r>
        <w:rPr>
          <w:rFonts w:hint="eastAsia"/>
          <w:b/>
          <w:color w:val="000000"/>
        </w:rPr>
        <w:t>4.4处置措施</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bookmarkStart w:id="141" w:name="_Toc31073"/>
      <w:bookmarkStart w:id="142" w:name="_Toc29636"/>
      <w:bookmarkStart w:id="143" w:name="_Toc4618"/>
      <w:bookmarkStart w:id="144" w:name="_Toc362094838"/>
      <w:bookmarkStart w:id="145" w:name="_Toc464153241"/>
      <w:r>
        <w:rPr>
          <w:rFonts w:hint="eastAsia" w:ascii="仿宋_GB2312"/>
          <w:color w:val="000000"/>
          <w:spacing w:val="0"/>
          <w:szCs w:val="32"/>
        </w:rPr>
        <w:t>（1）根据危险化学品特性及事故类别，科学合理制订事故应急救援方案，组织专（兼）职应急救援队伍进行救援。根据事故现场情况变化、救援需要和工作进展情况，及时修订救援方案。如上级政府指挥部设立现场指挥部，保税区先期设立的现场应急指挥机构应纳入现场指挥部，主动对接、汇报工作，服从统一领导，并做好相关保障工作。</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（2）到达现场的应急队伍、装备、专家和物资等，及时向现场指挥部报到，登记并留存联系方式，在现场指挥部的统一协调指挥下进行救援处置，相关领导或人员发生变更，及时向现场指挥部报告。</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（3）组织营救受灾和被困人员，疏散、撤离并妥善安置受威胁人员；采取迅速控制危险源、标明危险区域、封锁危险场所、划定警戒区、实行交通管制等控制措施。</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（4）开展事故发生地及可能影响区域的大气、水、土壤等环境质量监测；开展饮用水污染情况及水质监测。</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（5）开通应急通道，优先安排、调度、放行抢险救援力量、受危害人员及救援物资等。</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（6）开展危化品事故伤员的现场医疗救治、转运、院内救治和现场卫生防疫等工作；做好医疗废物、放射性物品安全处置管理工作；及时向现场指挥部通报伤员医疗救治情况。</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（7）定时总结调度，书面汇总上报现场处置情况。</w:t>
      </w:r>
    </w:p>
    <w:bookmarkEnd w:id="141"/>
    <w:bookmarkEnd w:id="142"/>
    <w:bookmarkEnd w:id="143"/>
    <w:bookmarkEnd w:id="144"/>
    <w:bookmarkEnd w:id="145"/>
    <w:p>
      <w:pPr>
        <w:pStyle w:val="9"/>
        <w:keepNext w:val="0"/>
        <w:keepLines w:val="0"/>
        <w:widowControl w:val="0"/>
        <w:spacing w:line="560" w:lineRule="exact"/>
        <w:ind w:firstLine="643"/>
        <w:jc w:val="both"/>
        <w:rPr>
          <w:rFonts w:hint="eastAsia" w:ascii="楷体_GB2312" w:hAnsi="楷体_GB2312" w:eastAsia="楷体_GB2312"/>
          <w:b/>
          <w:color w:val="000000"/>
          <w:spacing w:val="0"/>
          <w:kern w:val="0"/>
          <w:szCs w:val="32"/>
        </w:rPr>
      </w:pPr>
      <w:bookmarkStart w:id="146" w:name="_5.10_信息发布"/>
      <w:bookmarkEnd w:id="146"/>
      <w:bookmarkStart w:id="147" w:name="_Toc27385965"/>
      <w:bookmarkStart w:id="148" w:name="_Toc25313593"/>
      <w:bookmarkStart w:id="149" w:name="_Toc471475033"/>
      <w:bookmarkStart w:id="150" w:name="_Toc59372355"/>
      <w:r>
        <w:rPr>
          <w:rFonts w:hint="eastAsia" w:ascii="楷体_GB2312" w:hAnsi="楷体_GB2312" w:eastAsia="楷体_GB2312"/>
          <w:b/>
          <w:color w:val="000000"/>
          <w:spacing w:val="0"/>
          <w:kern w:val="0"/>
          <w:szCs w:val="32"/>
        </w:rPr>
        <w:t>4.5应急结束</w:t>
      </w:r>
      <w:bookmarkEnd w:id="147"/>
      <w:bookmarkEnd w:id="148"/>
      <w:bookmarkEnd w:id="149"/>
      <w:bookmarkEnd w:id="150"/>
    </w:p>
    <w:p>
      <w:pPr>
        <w:overflowPunct w:val="0"/>
        <w:autoSpaceDE w:val="0"/>
        <w:autoSpaceDN w:val="0"/>
        <w:adjustRightInd w:val="0"/>
        <w:snapToGrid w:val="0"/>
        <w:spacing w:line="560" w:lineRule="exact"/>
        <w:ind w:firstLine="640" w:firstLineChars="200"/>
        <w:rPr>
          <w:rFonts w:hint="eastAsia" w:ascii="仿宋_GB2312"/>
          <w:color w:val="000000"/>
          <w:spacing w:val="0"/>
          <w:szCs w:val="32"/>
          <w:highlight w:val="yellow"/>
        </w:rPr>
      </w:pPr>
      <w:bookmarkStart w:id="151" w:name="_Hlk154330483"/>
      <w:bookmarkStart w:id="152" w:name="_Toc59372356"/>
      <w:bookmarkStart w:id="153" w:name="_Toc27385966"/>
      <w:bookmarkStart w:id="154" w:name="_Toc25313594"/>
      <w:bookmarkStart w:id="155" w:name="_Toc362094840"/>
      <w:bookmarkStart w:id="156" w:name="_Toc22783"/>
      <w:r>
        <w:rPr>
          <w:rFonts w:hint="eastAsia" w:ascii="仿宋_GB2312"/>
          <w:color w:val="000000"/>
          <w:spacing w:val="0"/>
          <w:szCs w:val="32"/>
        </w:rPr>
        <w:t>现场应急处置工作基本结束，事故危害或威胁被控制、消除，应急处置工作即告结束。按照“谁决定响应，谁决定结束”原则，宣布应急处置工作结束。专项应急办及时将解除应急状态的信息通报有关成员单位。</w:t>
      </w:r>
    </w:p>
    <w:bookmarkEnd w:id="151"/>
    <w:p>
      <w:pPr>
        <w:pStyle w:val="13"/>
        <w:widowControl w:val="0"/>
        <w:jc w:val="both"/>
      </w:pPr>
      <w:r>
        <w:t>5 信息公开</w:t>
      </w:r>
      <w:bookmarkEnd w:id="152"/>
      <w:bookmarkEnd w:id="153"/>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信息发布遵循“归口管理、政府发布、区别情况、分层报道、讲究方式、注重效果”的原则，按照国家政务公开相关规定，充分尊重公民的知情权。信息发布组对事故相关新闻信息进行综合、分析并统一上报上级宣传主管部门，严格按照相关要求组织媒体报道。</w:t>
      </w:r>
    </w:p>
    <w:p>
      <w:pPr>
        <w:pStyle w:val="13"/>
        <w:widowControl w:val="0"/>
        <w:jc w:val="both"/>
      </w:pPr>
      <w:bookmarkStart w:id="157" w:name="_Toc59372357"/>
      <w:bookmarkStart w:id="158" w:name="_Toc27385967"/>
      <w:r>
        <w:t>6 后期处置</w:t>
      </w:r>
      <w:bookmarkEnd w:id="154"/>
      <w:bookmarkEnd w:id="155"/>
      <w:bookmarkEnd w:id="156"/>
      <w:bookmarkEnd w:id="157"/>
      <w:bookmarkEnd w:id="158"/>
      <w:bookmarkStart w:id="159" w:name="_Toc31736"/>
      <w:bookmarkEnd w:id="159"/>
      <w:bookmarkStart w:id="160" w:name="_Toc178528904"/>
      <w:bookmarkEnd w:id="160"/>
      <w:bookmarkStart w:id="161" w:name="_Toc362094841"/>
      <w:bookmarkEnd w:id="161"/>
      <w:bookmarkStart w:id="162" w:name="_Toc25678"/>
      <w:bookmarkEnd w:id="162"/>
      <w:bookmarkStart w:id="163" w:name="_Toc178529312"/>
      <w:bookmarkEnd w:id="163"/>
    </w:p>
    <w:p>
      <w:pPr>
        <w:pStyle w:val="9"/>
        <w:keepNext w:val="0"/>
        <w:keepLines w:val="0"/>
        <w:widowControl w:val="0"/>
        <w:ind w:firstLine="643"/>
        <w:jc w:val="both"/>
        <w:rPr>
          <w:rFonts w:hint="eastAsia"/>
          <w:b/>
          <w:color w:val="000000"/>
        </w:rPr>
      </w:pPr>
      <w:bookmarkStart w:id="164" w:name="_Toc454046202"/>
      <w:bookmarkStart w:id="165" w:name="_Toc262203827"/>
      <w:bookmarkStart w:id="166" w:name="_Toc25313595"/>
      <w:bookmarkStart w:id="167" w:name="_Toc19990"/>
      <w:bookmarkStart w:id="168" w:name="_Toc17693"/>
      <w:bookmarkStart w:id="169" w:name="_Toc32064"/>
      <w:bookmarkStart w:id="170" w:name="_Toc29057"/>
      <w:bookmarkStart w:id="171" w:name="_Toc28678"/>
      <w:bookmarkStart w:id="172" w:name="_Toc5833"/>
      <w:bookmarkStart w:id="173" w:name="_Toc262203562"/>
      <w:bookmarkStart w:id="174" w:name="_Toc27385968"/>
      <w:bookmarkStart w:id="175" w:name="_Toc59372358"/>
      <w:bookmarkStart w:id="176" w:name="_Toc15767"/>
      <w:bookmarkStart w:id="177" w:name="_Toc464153247"/>
      <w:bookmarkStart w:id="178" w:name="_Toc32057"/>
      <w:bookmarkStart w:id="179" w:name="_Toc15670"/>
      <w:bookmarkStart w:id="180" w:name="_Toc16198"/>
      <w:bookmarkStart w:id="181" w:name="_Toc362094845"/>
      <w:r>
        <w:rPr>
          <w:rFonts w:hint="eastAsia"/>
          <w:b/>
          <w:color w:val="000000"/>
        </w:rPr>
        <w:t>6.1善后</w:t>
      </w:r>
      <w:bookmarkEnd w:id="164"/>
      <w:bookmarkEnd w:id="165"/>
      <w:bookmarkEnd w:id="166"/>
      <w:bookmarkEnd w:id="167"/>
      <w:bookmarkEnd w:id="168"/>
      <w:bookmarkEnd w:id="169"/>
      <w:bookmarkEnd w:id="170"/>
      <w:bookmarkEnd w:id="171"/>
      <w:bookmarkEnd w:id="172"/>
      <w:bookmarkEnd w:id="173"/>
      <w:r>
        <w:rPr>
          <w:rFonts w:hint="eastAsia"/>
          <w:b/>
          <w:color w:val="000000"/>
        </w:rPr>
        <w:t>工作</w:t>
      </w:r>
      <w:bookmarkEnd w:id="174"/>
      <w:bookmarkEnd w:id="175"/>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bookmarkStart w:id="182" w:name="_Toc9906"/>
      <w:bookmarkStart w:id="183" w:name="_Toc4496"/>
      <w:bookmarkStart w:id="184" w:name="_Toc24147"/>
      <w:bookmarkStart w:id="185" w:name="_Toc16513"/>
      <w:bookmarkStart w:id="186" w:name="_Toc22540"/>
      <w:bookmarkStart w:id="187" w:name="_Toc2058"/>
      <w:bookmarkStart w:id="188" w:name="_Toc262203563"/>
      <w:bookmarkStart w:id="189" w:name="_Toc262203828"/>
      <w:bookmarkStart w:id="190" w:name="_Toc454046203"/>
      <w:r>
        <w:rPr>
          <w:rFonts w:hint="eastAsia" w:ascii="仿宋_GB2312"/>
          <w:color w:val="000000"/>
          <w:spacing w:val="0"/>
          <w:szCs w:val="32"/>
        </w:rPr>
        <w:t>应急结束宣布后，在专项应急指挥部的统一领导下，保税区有关部门和事发单位负责善后处置工作，及时制订恢复重建计划和善后处理措施，并组织实施，主要内容包括：人员安置与补偿、抚慰抚恤、社会救助、卫生防疫、保险理赔、废弃物处置、环境恢复等工作。</w:t>
      </w:r>
    </w:p>
    <w:p>
      <w:pPr>
        <w:pStyle w:val="9"/>
        <w:keepNext w:val="0"/>
        <w:keepLines w:val="0"/>
        <w:widowControl w:val="0"/>
        <w:ind w:firstLineChars="200"/>
        <w:jc w:val="both"/>
        <w:rPr>
          <w:rFonts w:hint="eastAsia"/>
          <w:b/>
          <w:color w:val="000000"/>
        </w:rPr>
      </w:pPr>
      <w:r>
        <w:rPr>
          <w:rFonts w:hint="eastAsia"/>
          <w:b/>
          <w:color w:val="000000"/>
        </w:rPr>
        <w:t>6.2总结与评估</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1.一般危险化学品事故的总结评估工作，由新区政府组织开展，保税区有关部门做好配合工作。</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2.较大及以上级别危险化学品事故的总结评估工作，由市政府组织开展，保税区有关部门做好配合工作。</w:t>
      </w:r>
    </w:p>
    <w:p>
      <w:pPr>
        <w:pStyle w:val="9"/>
        <w:keepNext w:val="0"/>
        <w:keepLines w:val="0"/>
        <w:widowControl w:val="0"/>
        <w:ind w:firstLineChars="200"/>
        <w:jc w:val="both"/>
        <w:rPr>
          <w:rFonts w:hint="eastAsia"/>
          <w:b/>
          <w:color w:val="000000"/>
        </w:rPr>
      </w:pPr>
      <w:bookmarkStart w:id="191" w:name="_Toc27385970"/>
      <w:bookmarkStart w:id="192" w:name="_Toc59372360"/>
      <w:r>
        <w:rPr>
          <w:rFonts w:hint="eastAsia"/>
          <w:b/>
          <w:color w:val="000000"/>
        </w:rPr>
        <w:t>6.3事故调查</w:t>
      </w:r>
      <w:bookmarkEnd w:id="191"/>
      <w:bookmarkEnd w:id="192"/>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1.一般危险化学品事故的调查工作，由保税区授权相关部门成立事故调查组，对事故进行调查，形成调查报告，并按规定时限上报保税区。</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2.较大及以上级别危险化学品事故的调查工作，由上级政府部门组织开展，保税区有关部门做好配合工作。</w:t>
      </w:r>
    </w:p>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Pr>
        <w:pStyle w:val="13"/>
        <w:widowControl w:val="0"/>
        <w:jc w:val="both"/>
      </w:pPr>
      <w:bookmarkStart w:id="193" w:name="_Toc59372361"/>
      <w:bookmarkStart w:id="194" w:name="_Toc25313598"/>
      <w:bookmarkStart w:id="195" w:name="_Toc27385971"/>
      <w:bookmarkStart w:id="196" w:name="_Toc464153248"/>
      <w:bookmarkStart w:id="197" w:name="_Toc5907"/>
      <w:bookmarkStart w:id="198" w:name="_Toc362094847"/>
      <w:r>
        <w:t>7 保障措施</w:t>
      </w:r>
      <w:bookmarkEnd w:id="193"/>
      <w:bookmarkEnd w:id="194"/>
      <w:bookmarkEnd w:id="195"/>
      <w:bookmarkEnd w:id="196"/>
      <w:bookmarkEnd w:id="197"/>
      <w:bookmarkEnd w:id="198"/>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bookmarkStart w:id="199" w:name="_Toc19510"/>
      <w:bookmarkStart w:id="200" w:name="_Toc362094853"/>
      <w:bookmarkStart w:id="201" w:name="_Toc21881"/>
      <w:bookmarkStart w:id="202" w:name="_Toc15843"/>
      <w:bookmarkStart w:id="203" w:name="_Toc464153254"/>
      <w:bookmarkStart w:id="204" w:name="_Toc12252"/>
      <w:bookmarkStart w:id="205" w:name="_Toc24030"/>
      <w:bookmarkStart w:id="206" w:name="_Toc31204"/>
      <w:bookmarkStart w:id="207" w:name="_Toc464153255"/>
      <w:r>
        <w:rPr>
          <w:rFonts w:hint="eastAsia" w:ascii="仿宋_GB2312"/>
          <w:color w:val="000000"/>
          <w:spacing w:val="0"/>
          <w:szCs w:val="32"/>
        </w:rPr>
        <w:t>保税区各有关部门要按照职责分工和相关预案做好危险化学品事故的应对工作，同时根据本预案切实做好应对危险化学品事故的人力、物力、财力、交通运输、医疗卫生及通信保障等工作，保证应急救援、事故调查、现场恢复和善后等工作的顺利进行。</w:t>
      </w:r>
    </w:p>
    <w:p>
      <w:pPr>
        <w:pStyle w:val="9"/>
        <w:keepNext w:val="0"/>
        <w:keepLines w:val="0"/>
        <w:widowControl w:val="0"/>
        <w:ind w:firstLine="643"/>
        <w:jc w:val="both"/>
        <w:rPr>
          <w:rFonts w:hint="eastAsia"/>
          <w:b/>
          <w:color w:val="000000"/>
        </w:rPr>
      </w:pPr>
      <w:bookmarkStart w:id="208" w:name="_Toc59372362"/>
      <w:bookmarkStart w:id="209" w:name="_Toc27385972"/>
      <w:bookmarkStart w:id="210" w:name="_Toc25313599"/>
      <w:r>
        <w:rPr>
          <w:rFonts w:hint="eastAsia"/>
          <w:b/>
          <w:color w:val="000000"/>
        </w:rPr>
        <w:t>7.1通信与信息保障</w:t>
      </w:r>
      <w:bookmarkEnd w:id="208"/>
      <w:bookmarkEnd w:id="209"/>
      <w:bookmarkEnd w:id="210"/>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1.各通信运营部门应依法保障应急信息在任何情况下优先畅通，保障气象、水文、汛情、灾情、危险化学品事故信息的及时传递。</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在专项应急办的组织下，各部门、各单位、各应急人员要保持通讯联系畅通，应急电话24小时保持畅通。事故现场通过固定电话、移动电话、对讲机等通讯手段，保持通讯畅通。事故应急救援的职能部门、值班电话应向社会公布。</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3.辖区内各企事业单位应建立通讯信息制度，编制本单位应急通讯录，完善应急通讯系统，确保应急通讯畅通，并明确和公布应急电话。</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4.专项应急办负责专项应急指挥部相关部门、辖区内企业以及新区应急办、有关部门信息的收集和整理，建立完整的应急通讯录。</w:t>
      </w:r>
    </w:p>
    <w:p>
      <w:pPr>
        <w:pStyle w:val="9"/>
        <w:keepNext w:val="0"/>
        <w:keepLines w:val="0"/>
        <w:widowControl w:val="0"/>
        <w:ind w:firstLine="643"/>
        <w:jc w:val="both"/>
        <w:rPr>
          <w:rFonts w:hint="eastAsia"/>
          <w:b/>
          <w:color w:val="000000"/>
        </w:rPr>
      </w:pPr>
      <w:bookmarkStart w:id="211" w:name="_Toc27385973"/>
      <w:bookmarkStart w:id="212" w:name="_Toc25313600"/>
      <w:bookmarkStart w:id="213" w:name="_Toc59372363"/>
      <w:r>
        <w:rPr>
          <w:rFonts w:hint="eastAsia"/>
          <w:b/>
          <w:color w:val="000000"/>
        </w:rPr>
        <w:t>7.2应急队伍保障</w:t>
      </w:r>
      <w:bookmarkEnd w:id="211"/>
      <w:bookmarkEnd w:id="212"/>
      <w:bookmarkEnd w:id="213"/>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综合消防救援队伍是保税区危险化学品事故应急救援的主要力量。生产经营单位应急救援队伍是区内危险化学品事故应急救援的重要补充力量。社会应急力量（如红十字会、志愿者队伍、居委会等团体）是危化品事故应急救援的辅助力量。</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大型危险化学品企业要建立企业专职应急救援队伍，按照有关规定配备人员、装备，开展培训、演练，并积极参与社会应急救援；不具备建立专职队伍的中小企业，要建立兼职队伍，配备必要的装备和器材，同时应当与周边其他专职应急救援队签订互助合作协议。</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社会应急力量（红十字会、志愿者队伍、居委会等团体）是危化品事故应急救援的辅助力量，主要承担日常应急救护、信息收集、防灾避险知识普及等工作，遇灾时组织灾民自救互救，辅助专业救援队伍开展应急救援行动。</w:t>
      </w:r>
    </w:p>
    <w:p>
      <w:pPr>
        <w:pStyle w:val="9"/>
        <w:keepNext w:val="0"/>
        <w:keepLines w:val="0"/>
        <w:widowControl w:val="0"/>
        <w:ind w:firstLine="643"/>
        <w:jc w:val="both"/>
        <w:rPr>
          <w:rFonts w:hint="eastAsia"/>
          <w:b/>
          <w:color w:val="000000"/>
        </w:rPr>
      </w:pPr>
      <w:bookmarkStart w:id="214" w:name="_Toc25313601"/>
      <w:bookmarkStart w:id="215" w:name="_Toc27385974"/>
      <w:bookmarkStart w:id="216" w:name="_Toc59372364"/>
      <w:r>
        <w:rPr>
          <w:rFonts w:hint="eastAsia"/>
          <w:b/>
          <w:color w:val="000000"/>
        </w:rPr>
        <w:t>7.3应急物资及交通运输保障</w:t>
      </w:r>
      <w:bookmarkEnd w:id="214"/>
      <w:bookmarkEnd w:id="215"/>
      <w:bookmarkEnd w:id="216"/>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按照以人为本、统筹协调、各负其责、节俭高效的原则，应急物资储备采取管委会、企事业单位与居民家庭储备相结合的方式，管委会负责储备政府应对突发事件所需应急物资，企事业单位及居民家庭负责储备应急自救、互救所需物资，在管委会的统筹、协调、布置下，形成保税区应急物资保障系统。</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危化品事故专项应急办组织各行业管理部门根据本区域危化品突发事件类别和对口领域危化品突发事件风险隐患情况，采取实物储备与协议储备相结合的方式，做好与安全需求相匹配的突发事件现场处置所需常备救援物资及个人防护物资储备工作。</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3.专项应急办负责与新区对接，共同完善应急处置物资调剂和供应机制，确保发生危险化学品事故时应急救援需要。</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保税区规建局牵头，组织有关单位，建立交通运输专业保障队伍，制定人员、物资运输方案和交通设施抢修方案，明确交通运输单位和运输工具数量、分布、功能和使用状态等，保证所需救助人员、应急处置人员、应急装备和物资得到优先安排、优先调度、优先放行。</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5.保税区内各企业应根据各自实际情况，明确应急救援处置车辆，保证紧急情况下应急车辆的优先调度、优先安排、优先放行，确保应急处置人员和救援物资及时、安全运达现场。</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6.保税区各交警大队负责划定运输路线，实行道路交通管制，建立应急救援“绿色通道”。</w:t>
      </w:r>
    </w:p>
    <w:p>
      <w:pPr>
        <w:pStyle w:val="9"/>
        <w:keepNext w:val="0"/>
        <w:keepLines w:val="0"/>
        <w:widowControl w:val="0"/>
        <w:ind w:firstLine="643"/>
        <w:jc w:val="both"/>
        <w:rPr>
          <w:rFonts w:hint="eastAsia"/>
          <w:b/>
          <w:color w:val="000000"/>
        </w:rPr>
      </w:pPr>
      <w:bookmarkStart w:id="217" w:name="_Toc25313602"/>
      <w:bookmarkStart w:id="218" w:name="_Toc27385975"/>
      <w:bookmarkStart w:id="219" w:name="_Toc59372365"/>
      <w:r>
        <w:rPr>
          <w:rFonts w:hint="eastAsia"/>
          <w:b/>
          <w:color w:val="000000"/>
        </w:rPr>
        <w:t>7.4医疗卫生保障</w:t>
      </w:r>
      <w:bookmarkEnd w:id="217"/>
      <w:bookmarkEnd w:id="218"/>
      <w:bookmarkEnd w:id="219"/>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1.保税区社发局负责组建医疗救护队伍，负责灾害发生时的医疗救护和疾病预防控制工作。</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2.发生危险化学品事故时，应根据“分级救治”的原则，按照现场抢救、院前急救、专科救治的不同环节和需要，安排医护人员，准备医疗器械和救助药品，组织救护。</w:t>
      </w:r>
    </w:p>
    <w:p>
      <w:pPr>
        <w:pStyle w:val="9"/>
        <w:keepNext w:val="0"/>
        <w:keepLines w:val="0"/>
        <w:widowControl w:val="0"/>
        <w:ind w:firstLine="643"/>
        <w:jc w:val="both"/>
        <w:rPr>
          <w:rFonts w:hint="eastAsia"/>
          <w:b/>
          <w:color w:val="000000"/>
        </w:rPr>
      </w:pPr>
      <w:bookmarkStart w:id="220" w:name="_Toc59372366"/>
      <w:bookmarkStart w:id="221" w:name="_Toc25313603"/>
      <w:bookmarkStart w:id="222" w:name="_Toc27385976"/>
      <w:r>
        <w:rPr>
          <w:rFonts w:hint="eastAsia"/>
          <w:b/>
          <w:color w:val="000000"/>
        </w:rPr>
        <w:t>7.5资金保障</w:t>
      </w:r>
      <w:bookmarkEnd w:id="220"/>
      <w:bookmarkEnd w:id="221"/>
      <w:bookmarkEnd w:id="222"/>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1.处置突发事件所需财政负担的经费，由业务部门按需提出申请并纳入本部门预算，采取一事一议、专款专用方式报批使用。</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2.相关部门和单位要为应急救援人员购买人身意外伤害保险，减少应急救援人员的人身风险。鼓励公民和企事业单位参加灾害保险。</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3.保税区财政、审计部门要对事故应急管理和处置各项资金的使用及效果进行监督。相关部门和单位要保证专款专用，任何单位和个人不得挪用，一旦出现违法行为，追究其法律责任。</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4.生产经营单位应当落实事故应急救援抢险的各项资金，做好事故应急救援必要的资金准备。常备物资经费由生产经营单位自筹资金解决，列入生产成本。</w:t>
      </w:r>
    </w:p>
    <w:p>
      <w:pPr>
        <w:pStyle w:val="9"/>
        <w:keepNext w:val="0"/>
        <w:keepLines w:val="0"/>
        <w:widowControl w:val="0"/>
        <w:ind w:firstLine="643"/>
        <w:jc w:val="both"/>
        <w:rPr>
          <w:rFonts w:hint="eastAsia"/>
          <w:b/>
          <w:color w:val="000000"/>
        </w:rPr>
      </w:pPr>
      <w:bookmarkStart w:id="223" w:name="_Toc59372367"/>
      <w:bookmarkStart w:id="224" w:name="_Toc25313604"/>
      <w:bookmarkStart w:id="225" w:name="_Toc27385977"/>
      <w:r>
        <w:rPr>
          <w:rFonts w:hint="eastAsia"/>
          <w:b/>
          <w:color w:val="000000"/>
        </w:rPr>
        <w:t>7.6公共设施保障</w:t>
      </w:r>
      <w:bookmarkEnd w:id="223"/>
      <w:bookmarkEnd w:id="224"/>
      <w:bookmarkEnd w:id="225"/>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1.保税区建设规划要符合预防与处置应急工作的需要，充分考虑公共安全，统筹安排应对事故所必需的设备和基础设施建设。重点设施、重点工程、重大项目建设要科学选址、优化布局，增强防灾减灾能力。</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保税区规建局在市政工程建设中充分利用现有的公园、广场等市政设施和人防工程，依据应急避难场所专项规划建设一批布局合理、设施完善、功能齐全的应急避难场所。事故发生时，事发地可就近利用学校、广场、公园、体育场等设施，作为临时避难场所。</w:t>
      </w:r>
    </w:p>
    <w:p>
      <w:pPr>
        <w:pStyle w:val="9"/>
        <w:keepNext w:val="0"/>
        <w:keepLines w:val="0"/>
        <w:widowControl w:val="0"/>
        <w:ind w:firstLine="643"/>
        <w:jc w:val="both"/>
        <w:rPr>
          <w:rFonts w:hint="eastAsia"/>
          <w:b/>
          <w:color w:val="000000"/>
        </w:rPr>
      </w:pPr>
      <w:bookmarkStart w:id="226" w:name="_Toc25313605"/>
      <w:bookmarkStart w:id="227" w:name="_Toc59372368"/>
      <w:bookmarkStart w:id="228" w:name="_Toc27385978"/>
      <w:r>
        <w:rPr>
          <w:rFonts w:hint="eastAsia"/>
          <w:b/>
          <w:color w:val="000000"/>
        </w:rPr>
        <w:t>7.7治安保障</w:t>
      </w:r>
      <w:bookmarkEnd w:id="226"/>
      <w:bookmarkEnd w:id="227"/>
      <w:bookmarkEnd w:id="228"/>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1.管委会办公室协调属地公安根据不同类别、级别事故，拟订维持治安秩序行动方案，迅速在危险化学品事故处置现场周围设立警戒区和警戒哨，做好现场管理、疏散群众、维护公共秩序等工作。</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2.社发局和其他社会组织应当按照保税区的决定、命令，进行宣传动员，组织群众开展自救互救，协助维护社会秩序。</w:t>
      </w:r>
    </w:p>
    <w:p>
      <w:pPr>
        <w:pStyle w:val="9"/>
        <w:keepNext w:val="0"/>
        <w:keepLines w:val="0"/>
        <w:widowControl w:val="0"/>
        <w:ind w:firstLine="643"/>
        <w:jc w:val="both"/>
        <w:rPr>
          <w:rFonts w:hint="eastAsia"/>
          <w:b/>
          <w:color w:val="000000"/>
        </w:rPr>
      </w:pPr>
      <w:bookmarkStart w:id="229" w:name="_Toc25313606"/>
      <w:bookmarkStart w:id="230" w:name="_Toc27385979"/>
      <w:bookmarkStart w:id="231" w:name="_Toc59372369"/>
      <w:r>
        <w:rPr>
          <w:rFonts w:hint="eastAsia"/>
          <w:b/>
          <w:color w:val="000000"/>
        </w:rPr>
        <w:t>7.8技术储备与保障</w:t>
      </w:r>
      <w:bookmarkEnd w:id="229"/>
      <w:bookmarkEnd w:id="230"/>
      <w:bookmarkEnd w:id="231"/>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应急局、市场局、城环局、规建局、社发局、人社局、商务局、</w:t>
      </w:r>
      <w:r>
        <w:rPr>
          <w:rFonts w:hint="eastAsia" w:ascii="仿宋_GB2312"/>
          <w:color w:val="000000"/>
          <w:spacing w:val="0"/>
          <w:szCs w:val="32"/>
          <w:lang w:eastAsia="zh-CN"/>
        </w:rPr>
        <w:t>口岸局</w:t>
      </w:r>
      <w:r>
        <w:rPr>
          <w:rFonts w:hint="eastAsia" w:ascii="仿宋_GB2312"/>
          <w:color w:val="000000"/>
          <w:spacing w:val="0"/>
          <w:szCs w:val="32"/>
        </w:rPr>
        <w:t>等有关部门应协助专项应急指挥部建立危险化学品事故应急救援专家库。应急状态时组织成立危险化学品事故应急救援专家组，充分发挥相关行业、领域的机构和专家的作用，为应急救援提供技术支持和保障。充分利用区内现有安全生产技术支撑体系的专家和机构，研发专业处置技术，制定专业处置方案，加强技术储备，研究并解决专项应急指挥部应急救援重大问题，积极采用先进的应急技术和装备。</w:t>
      </w:r>
      <w:bookmarkEnd w:id="199"/>
      <w:bookmarkEnd w:id="200"/>
      <w:bookmarkEnd w:id="201"/>
      <w:bookmarkEnd w:id="202"/>
      <w:bookmarkEnd w:id="203"/>
      <w:bookmarkEnd w:id="204"/>
      <w:bookmarkEnd w:id="205"/>
      <w:bookmarkEnd w:id="206"/>
    </w:p>
    <w:p>
      <w:pPr>
        <w:pStyle w:val="13"/>
        <w:widowControl w:val="0"/>
        <w:jc w:val="both"/>
      </w:pPr>
      <w:bookmarkStart w:id="232" w:name="_Toc59372370"/>
      <w:bookmarkStart w:id="233" w:name="_Toc178528916"/>
      <w:bookmarkStart w:id="234" w:name="_Toc25313607"/>
      <w:bookmarkStart w:id="235" w:name="_Toc27385980"/>
      <w:bookmarkStart w:id="236" w:name="_Toc181001552"/>
      <w:bookmarkStart w:id="237" w:name="_Toc178529324"/>
      <w:r>
        <w:t>8 应急预案管理</w:t>
      </w:r>
      <w:bookmarkEnd w:id="207"/>
      <w:bookmarkEnd w:id="232"/>
      <w:bookmarkEnd w:id="233"/>
      <w:bookmarkEnd w:id="234"/>
      <w:bookmarkEnd w:id="235"/>
      <w:bookmarkEnd w:id="236"/>
      <w:bookmarkEnd w:id="237"/>
    </w:p>
    <w:p>
      <w:pPr>
        <w:pStyle w:val="9"/>
        <w:keepNext w:val="0"/>
        <w:keepLines w:val="0"/>
        <w:widowControl w:val="0"/>
        <w:ind w:firstLine="643"/>
        <w:jc w:val="both"/>
        <w:rPr>
          <w:rFonts w:hint="eastAsia"/>
          <w:b/>
          <w:color w:val="000000"/>
        </w:rPr>
      </w:pPr>
      <w:bookmarkStart w:id="238" w:name="_Toc59372371"/>
      <w:bookmarkStart w:id="239" w:name="_Toc25313608"/>
      <w:bookmarkStart w:id="240" w:name="_Toc27385981"/>
      <w:bookmarkStart w:id="241" w:name="_Toc471475049"/>
      <w:bookmarkStart w:id="242" w:name="_Toc362094854"/>
      <w:bookmarkStart w:id="243" w:name="_Toc23889"/>
      <w:bookmarkStart w:id="244" w:name="_Toc464153256"/>
      <w:bookmarkStart w:id="245" w:name="_Toc26420"/>
      <w:bookmarkStart w:id="246" w:name="_Toc5328"/>
      <w:bookmarkStart w:id="247" w:name="_Toc19107"/>
      <w:bookmarkStart w:id="248" w:name="_Toc464153257"/>
      <w:bookmarkStart w:id="249" w:name="_Toc15421"/>
      <w:bookmarkStart w:id="250" w:name="_Toc23257"/>
      <w:bookmarkStart w:id="251" w:name="_Toc469755907"/>
      <w:bookmarkStart w:id="252" w:name="_Toc362094858"/>
      <w:r>
        <w:rPr>
          <w:rFonts w:hint="eastAsia"/>
          <w:b/>
          <w:color w:val="000000"/>
        </w:rPr>
        <w:t>8.1宣传培训</w:t>
      </w:r>
      <w:bookmarkEnd w:id="238"/>
      <w:bookmarkEnd w:id="239"/>
      <w:bookmarkEnd w:id="240"/>
      <w:bookmarkEnd w:id="241"/>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1.专项应急办和有关部门（行业主管部门或主责部门）要利用媒体，采取多种形式开展对危险化学品事故预防、避险、避灾、自救和互救常识的宣传工作。</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专项应急办要组织辖区内危险化学品单位就本预案、国内外危险化学品事故案例、应急知识等开展专项安全培训，增强危险化学品单位事故预防意识和应急意识。</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2.涉及危险化学品的生产经营单位要按规定向员工说明本企业生产、储存和使用危险化学品的危险特性及发生事故可能造成的危害，加强岗位安全培训和应急训练，增强员工安全意识和应对事故的能力。</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危险化学品重大危险源企业要对周边的单位及人群进行应急知识的告知，使其了解重大危险源潜在的危险，掌握必要的自救知识，提高自我保护能力。</w:t>
      </w:r>
    </w:p>
    <w:bookmarkEnd w:id="242"/>
    <w:bookmarkEnd w:id="243"/>
    <w:bookmarkEnd w:id="244"/>
    <w:bookmarkEnd w:id="245"/>
    <w:bookmarkEnd w:id="246"/>
    <w:p>
      <w:pPr>
        <w:pStyle w:val="9"/>
        <w:keepNext w:val="0"/>
        <w:keepLines w:val="0"/>
        <w:widowControl w:val="0"/>
        <w:ind w:firstLine="643"/>
        <w:jc w:val="both"/>
        <w:rPr>
          <w:rFonts w:hint="eastAsia"/>
          <w:b/>
          <w:color w:val="000000"/>
        </w:rPr>
      </w:pPr>
      <w:bookmarkStart w:id="253" w:name="_Toc27385982"/>
      <w:bookmarkStart w:id="254" w:name="_Toc59372372"/>
      <w:bookmarkStart w:id="255" w:name="_Toc471475050"/>
      <w:bookmarkStart w:id="256" w:name="_Toc25313609"/>
      <w:r>
        <w:rPr>
          <w:rFonts w:hint="eastAsia"/>
          <w:b/>
          <w:color w:val="000000"/>
        </w:rPr>
        <w:t>8.2应急预案演练</w:t>
      </w:r>
      <w:bookmarkEnd w:id="253"/>
      <w:bookmarkEnd w:id="254"/>
      <w:bookmarkEnd w:id="255"/>
      <w:bookmarkEnd w:id="256"/>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在保税区领导下，专项应急指挥部组织成员单位，每2年组织1次危险化学品事故专项应急演练；危险化学品单位每年至少组织1次危险化学品事故专项应急演练，涉及重大危险源的单位每半年至少组织1次针对重大危险源的现场处置方案演练；上年度发生较大及以上级别危险化学品事故的单位，本年度至少进行1次同类型事故的应急演练。</w:t>
      </w:r>
    </w:p>
    <w:p>
      <w:pPr>
        <w:pStyle w:val="9"/>
        <w:keepNext w:val="0"/>
        <w:keepLines w:val="0"/>
        <w:widowControl w:val="0"/>
        <w:ind w:firstLine="643"/>
        <w:jc w:val="both"/>
        <w:rPr>
          <w:rFonts w:hint="eastAsia"/>
          <w:b/>
          <w:color w:val="000000"/>
        </w:rPr>
      </w:pPr>
      <w:bookmarkStart w:id="257" w:name="_Toc25313610"/>
      <w:bookmarkStart w:id="258" w:name="_Toc27385983"/>
      <w:bookmarkStart w:id="259" w:name="_Toc471475051"/>
      <w:bookmarkStart w:id="260" w:name="_Toc59372373"/>
      <w:r>
        <w:rPr>
          <w:rFonts w:hint="eastAsia"/>
          <w:b/>
          <w:color w:val="000000"/>
        </w:rPr>
        <w:t>8.3应急预案维护和更新</w:t>
      </w:r>
      <w:bookmarkEnd w:id="257"/>
      <w:bookmarkEnd w:id="258"/>
      <w:bookmarkEnd w:id="259"/>
      <w:bookmarkEnd w:id="260"/>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随着应急救援相关法律法规的制定、修改和完善，部门职责或应急资源发生变化，以及应急预案实施后，经评估发现其缺陷和不足，根据相关规定，专项应急办适时修订本预案。</w:t>
      </w:r>
    </w:p>
    <w:p>
      <w:pPr>
        <w:pStyle w:val="9"/>
        <w:keepNext w:val="0"/>
        <w:keepLines w:val="0"/>
        <w:widowControl w:val="0"/>
        <w:ind w:firstLine="643"/>
        <w:jc w:val="both"/>
        <w:rPr>
          <w:rFonts w:hint="eastAsia"/>
          <w:b/>
          <w:color w:val="000000"/>
        </w:rPr>
      </w:pPr>
      <w:bookmarkStart w:id="261" w:name="_Toc25313611"/>
      <w:bookmarkStart w:id="262" w:name="_Toc59372374"/>
      <w:bookmarkStart w:id="263" w:name="_Toc27385984"/>
      <w:bookmarkStart w:id="264" w:name="_Toc471475052"/>
      <w:r>
        <w:rPr>
          <w:rFonts w:hint="eastAsia"/>
          <w:b/>
          <w:color w:val="000000"/>
        </w:rPr>
        <w:t>8.4预案</w:t>
      </w:r>
      <w:bookmarkEnd w:id="261"/>
      <w:bookmarkEnd w:id="262"/>
      <w:bookmarkEnd w:id="263"/>
      <w:bookmarkEnd w:id="264"/>
      <w:r>
        <w:rPr>
          <w:rFonts w:hint="eastAsia"/>
          <w:b/>
          <w:color w:val="000000"/>
        </w:rPr>
        <w:t>管理</w:t>
      </w:r>
      <w:bookmarkStart w:id="265" w:name="_Toc59372375"/>
      <w:bookmarkStart w:id="266" w:name="_Toc471475053"/>
      <w:bookmarkStart w:id="267" w:name="_Toc27385985"/>
      <w:bookmarkStart w:id="268" w:name="_Toc25313612"/>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各成员单位可参照本预案中各部门职责分工，制定本部门危险化学品事故应急预案，报送区应急管理部门备案。危险化学品单位应急预案依据相关法律、法规报相应主管部门备案。</w:t>
      </w:r>
    </w:p>
    <w:p>
      <w:pPr>
        <w:pStyle w:val="9"/>
        <w:keepNext w:val="0"/>
        <w:keepLines w:val="0"/>
        <w:widowControl w:val="0"/>
        <w:ind w:firstLine="643"/>
        <w:jc w:val="both"/>
        <w:rPr>
          <w:rFonts w:hint="eastAsia"/>
          <w:b/>
          <w:color w:val="000000"/>
        </w:rPr>
      </w:pPr>
      <w:r>
        <w:rPr>
          <w:rFonts w:hint="eastAsia"/>
          <w:b/>
          <w:color w:val="000000"/>
        </w:rPr>
        <w:t>8.5应急预案实施</w:t>
      </w:r>
      <w:bookmarkEnd w:id="247"/>
      <w:bookmarkEnd w:id="248"/>
      <w:bookmarkEnd w:id="249"/>
      <w:bookmarkEnd w:id="250"/>
      <w:bookmarkEnd w:id="251"/>
      <w:bookmarkEnd w:id="252"/>
      <w:bookmarkEnd w:id="265"/>
      <w:bookmarkEnd w:id="266"/>
      <w:bookmarkEnd w:id="267"/>
      <w:bookmarkEnd w:id="268"/>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本预案自发布之日起开始实施，有效期为5年，同时2023年版《天津港保税区危险化学品事故应急预案》（津保管发〔2023〕27号）废止，本预案由专项应急办负责解释。</w:t>
      </w:r>
    </w:p>
    <w:p>
      <w:pPr>
        <w:pStyle w:val="13"/>
        <w:widowControl w:val="0"/>
        <w:jc w:val="both"/>
      </w:pPr>
      <w:bookmarkStart w:id="269" w:name="_Toc27385986"/>
      <w:bookmarkStart w:id="270" w:name="_Toc59372376"/>
      <w:r>
        <w:t>9 责任与奖惩</w:t>
      </w:r>
      <w:bookmarkEnd w:id="269"/>
      <w:bookmarkEnd w:id="270"/>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对危险化学品事故应急处置救援工作中作出突出贡献的单位和个人，按照国家、市、区有关规定给予表彰或奖励；对迟报、谎报、瞒报和漏报事故重要情况、应急处置不力或工作中有其他失职、渎职行为的，依照有关法律规定严肃追责；构成犯罪的，依法追究刑事责任。</w:t>
      </w:r>
    </w:p>
    <w:p>
      <w:pPr>
        <w:overflowPunct w:val="0"/>
        <w:autoSpaceDE w:val="0"/>
        <w:autoSpaceDN w:val="0"/>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根据事故调查报告和事故救援实际，按照国家、市、区有关规定，对在危险化学品事故应对工作中作出贡献的单位和个人给予表彰和奖励。</w:t>
      </w:r>
    </w:p>
    <w:p>
      <w:pPr>
        <w:pStyle w:val="2"/>
        <w:keepNext w:val="0"/>
        <w:keepLines w:val="0"/>
        <w:overflowPunct w:val="0"/>
        <w:autoSpaceDE w:val="0"/>
        <w:autoSpaceDN w:val="0"/>
        <w:adjustRightInd w:val="0"/>
        <w:snapToGrid w:val="0"/>
        <w:spacing w:line="560" w:lineRule="exact"/>
        <w:ind w:firstLine="536" w:firstLineChars="200"/>
        <w:rPr>
          <w:rFonts w:hint="eastAsia"/>
        </w:rPr>
      </w:pPr>
    </w:p>
    <w:p>
      <w:pPr>
        <w:pStyle w:val="2"/>
        <w:keepNext w:val="0"/>
        <w:keepLines w:val="0"/>
        <w:spacing w:before="0" w:after="0" w:line="400" w:lineRule="exact"/>
        <w:rPr>
          <w:rFonts w:hint="eastAsia"/>
        </w:rPr>
      </w:pPr>
    </w:p>
    <w:p>
      <w:pPr>
        <w:spacing w:line="240" w:lineRule="atLeast"/>
        <w:rPr>
          <w:rFonts w:hint="eastAsia"/>
        </w:rPr>
      </w:pPr>
    </w:p>
    <w:p>
      <w:bookmarkStart w:id="271" w:name="_GoBack"/>
      <w:bookmarkEnd w:id="271"/>
    </w:p>
    <w:sectPr>
      <w:headerReference r:id="rId5" w:type="default"/>
      <w:footerReference r:id="rId7" w:type="default"/>
      <w:headerReference r:id="rId6" w:type="even"/>
      <w:footerReference r:id="rId8" w:type="even"/>
      <w:pgSz w:w="11906" w:h="16838"/>
      <w:pgMar w:top="2098" w:right="1474" w:bottom="1928" w:left="1588" w:header="851" w:footer="992" w:gutter="0"/>
      <w:cols w:space="720" w:num="1"/>
      <w:docGrid w:type="linesAndChars" w:linePitch="60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文星仿宋">
    <w:altName w:val="仿宋"/>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1"/>
        <w:szCs w:val="21"/>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27</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28</w:t>
    </w:r>
    <w:r>
      <w:rPr>
        <w:rFonts w:ascii="宋体" w:hAnsi="宋体" w:eastAsia="宋体"/>
        <w:sz w:val="28"/>
        <w:szCs w:val="28"/>
      </w:rPr>
      <w:fldChar w:fldCharType="end"/>
    </w:r>
    <w:r>
      <w:rPr>
        <w:rFonts w:hint="eastAsia" w:ascii="宋体" w:hAnsi="宋体" w:eastAsia="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suff w:val="space"/>
      <w:lvlText w:val="%1"/>
      <w:lvlJc w:val="left"/>
      <w:pPr>
        <w:ind w:left="420" w:hanging="420"/>
      </w:pPr>
      <w:rPr>
        <w:rFonts w:hint="eastAsia" w:ascii="仿宋_GB2312" w:hAnsi="Times New Roman" w:eastAsia="仿宋_GB2312"/>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Yzc0MjE4MDUzNjUwM2M0MjZkYjEwMjY1MTM2MmQifQ=="/>
  </w:docVars>
  <w:rsids>
    <w:rsidRoot w:val="00000000"/>
    <w:rsid w:val="0F9B4163"/>
    <w:rsid w:val="1AFFD922"/>
    <w:rsid w:val="1E8873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3">
    <w:name w:val="heading 1"/>
    <w:basedOn w:val="1"/>
    <w:next w:val="1"/>
    <w:qFormat/>
    <w:uiPriority w:val="9"/>
    <w:pPr>
      <w:keepNext/>
      <w:keepLines/>
      <w:spacing w:beforeLines="50" w:afterLines="50" w:line="360" w:lineRule="auto"/>
      <w:outlineLvl w:val="0"/>
    </w:pPr>
    <w:rPr>
      <w:rFonts w:ascii="黑体" w:hAnsi="宋体" w:eastAsia="黑体"/>
      <w:b/>
      <w:sz w:val="32"/>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Heading4"/>
    <w:basedOn w:val="1"/>
    <w:next w:val="1"/>
    <w:qFormat/>
    <w:uiPriority w:val="0"/>
    <w:pPr>
      <w:keepNext/>
      <w:keepLines/>
      <w:spacing w:before="280" w:after="290" w:line="372" w:lineRule="auto"/>
    </w:pPr>
    <w:rPr>
      <w:rFonts w:ascii="Arial" w:hAnsi="Arial" w:eastAsia="黑体" w:cs="Times New Roman"/>
      <w:sz w:val="28"/>
    </w:rPr>
  </w:style>
  <w:style w:type="paragraph" w:styleId="4">
    <w:name w:val="Body Text"/>
    <w:basedOn w:val="1"/>
    <w:autoRedefine/>
    <w:qFormat/>
    <w:uiPriority w:val="0"/>
    <w:rPr>
      <w:rFonts w:ascii="宋体" w:hAnsi="宋体"/>
      <w:color w:val="000000"/>
    </w:rPr>
  </w:style>
  <w:style w:type="paragraph" w:styleId="5">
    <w:name w:val="footer"/>
    <w:basedOn w:val="1"/>
    <w:unhideWhenUsed/>
    <w:qFormat/>
    <w:uiPriority w:val="99"/>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公文二级标题"/>
    <w:next w:val="10"/>
    <w:qFormat/>
    <w:uiPriority w:val="0"/>
    <w:pPr>
      <w:keepNext/>
      <w:keepLines/>
      <w:spacing w:line="560" w:lineRule="exact"/>
      <w:ind w:firstLine="640" w:firstLineChars="200"/>
      <w:outlineLvl w:val="3"/>
    </w:pPr>
    <w:rPr>
      <w:rFonts w:ascii="楷体_GB2312" w:hAnsi="楷体_GB2312" w:eastAsia="楷体_GB2312" w:cs="Times New Roman"/>
      <w:sz w:val="32"/>
      <w:szCs w:val="32"/>
      <w:lang w:bidi="ar-SA"/>
    </w:rPr>
  </w:style>
  <w:style w:type="paragraph" w:customStyle="1" w:styleId="10">
    <w:name w:val="公文正文"/>
    <w:qFormat/>
    <w:uiPriority w:val="0"/>
    <w:pPr>
      <w:keepNext/>
      <w:keepLines/>
      <w:spacing w:line="560" w:lineRule="exact"/>
      <w:ind w:firstLine="640" w:firstLineChars="200"/>
      <w:outlineLvl w:val="3"/>
    </w:pPr>
    <w:rPr>
      <w:rFonts w:ascii="仿宋_GB2312" w:hAnsi="仿宋_GB2312" w:eastAsia="仿宋_GB2312" w:cs="Times New Roman"/>
      <w:sz w:val="32"/>
      <w:lang w:val="en-US" w:eastAsia="zh-CN" w:bidi="ar-SA"/>
    </w:rPr>
  </w:style>
  <w:style w:type="paragraph" w:customStyle="1" w:styleId="11">
    <w:name w:val="公文三级标题"/>
    <w:qFormat/>
    <w:uiPriority w:val="0"/>
    <w:pPr>
      <w:spacing w:line="560" w:lineRule="exact"/>
      <w:ind w:firstLine="640" w:firstLineChars="200"/>
    </w:pPr>
    <w:rPr>
      <w:rFonts w:hint="eastAsia" w:ascii="仿宋_GB2312" w:hAnsi="仿宋_GB2312" w:eastAsia="仿宋_GB2312" w:cs="Times New Roman"/>
      <w:b/>
      <w:bCs/>
      <w:color w:val="000000"/>
      <w:sz w:val="32"/>
      <w:szCs w:val="32"/>
      <w:lang w:val="en-US" w:eastAsia="zh-CN" w:bidi="ar-SA"/>
    </w:rPr>
  </w:style>
  <w:style w:type="paragraph" w:styleId="12">
    <w:name w:val="List Paragraph"/>
    <w:basedOn w:val="1"/>
    <w:qFormat/>
    <w:uiPriority w:val="34"/>
    <w:pPr>
      <w:ind w:firstLine="420" w:firstLineChars="200"/>
    </w:pPr>
  </w:style>
  <w:style w:type="paragraph" w:customStyle="1" w:styleId="13">
    <w:name w:val="公文一级标题"/>
    <w:next w:val="10"/>
    <w:qFormat/>
    <w:uiPriority w:val="0"/>
    <w:pPr>
      <w:spacing w:line="560" w:lineRule="exact"/>
      <w:ind w:firstLine="640" w:firstLineChars="200"/>
    </w:pPr>
    <w:rPr>
      <w:rFonts w:hint="eastAsia" w:ascii="黑体" w:hAnsi="黑体" w:eastAsia="黑体" w:cs="Times New Roman"/>
      <w:bCs/>
      <w:color w:val="000000"/>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2024-05-08T15:13:00Z</dcterms:created>
  <dc:creator>greatwall</dc:creator>
  <cp:lastModifiedBy>拾雲</cp:lastModifiedBy>
  <dcterms:modified xsi:type="dcterms:W3CDTF">2024-05-08T09:08:09Z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6879A00FED844C58BAE8EE292F200489_13</vt:lpwstr>
  </property>
</Properties>
</file>